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b/>
          <w:bCs/>
          <w:sz w:val="24"/>
          <w:szCs w:val="24"/>
        </w:rPr>
        <w:t xml:space="preserve">Jonathan Westmoreland</w:t>
      </w:r>
    </w:p>
    <w:p>
      <w:pPr>
        <w:spacing w:after="40"/>
      </w:pPr>
      <w:r>
        <w:rPr>
          <w:color w:val="555555"/>
          <w:sz w:val="22"/>
          <w:szCs w:val="22"/>
        </w:rPr>
        <w:t xml:space="preserve">Bend, Oregon</w:t>
      </w:r>
    </w:p>
    <w:p>
      <w:pPr>
        <w:spacing w:after="40"/>
      </w:pPr>
      <w:r>
        <w:rPr>
          <w:color w:val="555555"/>
          <w:sz w:val="22"/>
          <w:szCs w:val="22"/>
        </w:rPr>
        <w:t xml:space="preserve">westmoreland.jonathan@gmail.com</w:t>
      </w:r>
      <w:r>
        <w:rPr>
          <w:color w:val="999999"/>
          <w:sz w:val="22"/>
          <w:szCs w:val="22"/>
        </w:rPr>
        <w:t xml:space="preserve">   |   </w:t>
      </w:r>
      <w:r>
        <w:rPr>
          <w:color w:val="555555"/>
          <w:sz w:val="22"/>
          <w:szCs w:val="22"/>
        </w:rPr>
        <w:t xml:space="preserve">541-480-5385</w:t>
      </w:r>
    </w:p>
    <w:p>
      <w:pPr>
        <w:spacing w:after="220"/>
      </w:pPr>
      <w:r>
        <w:t xml:space="preserve"/>
      </w:r>
    </w:p>
    <w:p>
      <w:pPr>
        <w:spacing w:after="80"/>
      </w:pPr>
      <w:r>
        <w:rPr>
          <w:b/>
          <w:bCs/>
        </w:rPr>
        <w:t xml:space="preserve">To: </w:t>
      </w:r>
      <w:r>
        <w:t xml:space="preserve">Bend City Council</w:t>
      </w:r>
    </w:p>
    <w:p>
      <w:pPr>
        <w:spacing w:after="80"/>
      </w:pPr>
      <w:r>
        <w:rPr>
          <w:b/>
          <w:bCs/>
        </w:rPr>
        <w:t xml:space="preserve">Re:  </w:t>
      </w:r>
      <w:r>
        <w:t xml:space="preserve">Bend Police Department Policy 428 — Automated License Plate Readers</w:t>
      </w:r>
    </w:p>
    <w:p>
      <w:pPr>
        <w:spacing w:after="240"/>
      </w:pPr>
      <w:r>
        <w:rPr>
          <w:b/>
          <w:bCs/>
        </w:rPr>
        <w:t xml:space="preserve">Date: </w:t>
      </w:r>
      <w:r>
        <w:t xml:space="preserve">May 22, 2026</w:t>
      </w:r>
    </w:p>
    <w:p>
      <w:pPr>
        <w:spacing w:after="160" w:line="288"/>
        <w:jc w:val="both"/>
      </w:pPr>
      <w:r>
        <w:t xml:space="preserve">Councilors,</w:t>
      </w:r>
    </w:p>
    <w:p>
      <w:pPr>
        <w:spacing w:after="160" w:line="288"/>
        <w:jc w:val="both"/>
      </w:pPr>
      <w:r>
        <w:t xml:space="preserve">Thank you for the opportunity to provide feedback on Bend Police Department Policy 428, Automated License Plate Readers.</w:t>
      </w:r>
    </w:p>
    <w:p>
      <w:pPr>
        <w:spacing w:after="160" w:line="288"/>
        <w:jc w:val="both"/>
      </w:pPr>
      <w:r>
        <w:t xml:space="preserve">I appreciate that Policy 428 was written with SB 1516 in mind, and there are several places where it does so faithfully. I am writing because, after a section-by-section comparison, two distinct issues stand out. First, Policy 428 does not yet fully implement several specific requirements of SB 1516 itself. Second, even where it may fit within SB 1516, Policy 428 adopts the broadest uses state law still allows rather than a narrower local standard appropriate for Bend.</w:t>
      </w:r>
    </w:p>
    <w:p>
      <w:pPr>
        <w:spacing w:after="160" w:line="288"/>
        <w:jc w:val="both"/>
      </w:pPr>
      <w:r>
        <w:t xml:space="preserve">SB 1516 was a statewide compromise. It is the statutory floor for ALPR use in Oregon. It is not, and should not be treated as, the ceiling for local privacy protection. Bend has already experienced public concern over ALPR surveillance, and future use of this technology should reflect Bend's community expectations, not simply the outer limits of what state law still allows.</w:t>
      </w:r>
    </w:p>
    <w:p>
      <w:pPr>
        <w:pStyle w:val="Heading1"/>
      </w:pPr>
      <w:r>
        <w:t xml:space="preserve">What I am asking Council to do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F3A66" w:sz="8"/>
              <w:left w:val="single" w:color="1F3A66" w:sz="8"/>
              <w:bottom w:val="single" w:color="1F3A66" w:sz="8"/>
              <w:right w:val="single" w:color="1F3A66" w:sz="8"/>
            </w:tcBorders>
            <w:shd w:fill="EAF1FB" w:val="clear"/>
            <w:tcMar>
              <w:top w:type="dxa" w:w="200"/>
              <w:left w:type="dxa" w:w="240"/>
              <w:bottom w:type="dxa" w:w="200"/>
              <w:right w:type="dxa" w:w="240"/>
            </w:tcMar>
            <w:vAlign w:val="top"/>
          </w:tcPr>
          <w:p>
            <w:pPr>
              <w:spacing w:after="120"/>
            </w:pPr>
            <w:r>
              <w:rPr>
                <w:b/>
                <w:bCs/>
              </w:rPr>
              <w:t xml:space="preserve">I respectfully ask Council to do three things before treating Policy 428 as adequate:</w:t>
            </w:r>
          </w:p>
          <w:p>
            <w:pPr>
              <w:pStyle w:val="ListParagraph"/>
              <w:numPr>
                <w:ilvl w:val="0"/>
                <w:numId w:val="2"/>
              </w:numPr>
              <w:spacing w:after="100"/>
            </w:pPr>
            <w:r>
              <w:rPr>
                <w:b/>
                <w:bCs/>
              </w:rPr>
              <w:t xml:space="preserve">Direct Bend PD to close the gaps where Policy 428 does not yet fully implement SB 1516 itself </w:t>
            </w:r>
            <w:r>
              <w:t xml:space="preserve">(detailed in Part I of this letter and in Exhibit A);</w:t>
            </w:r>
          </w:p>
          <w:p>
            <w:pPr>
              <w:pStyle w:val="ListParagraph"/>
              <w:numPr>
                <w:ilvl w:val="0"/>
                <w:numId w:val="2"/>
              </w:numPr>
              <w:spacing w:after="100"/>
            </w:pPr>
            <w:r>
              <w:rPr>
                <w:b/>
                <w:bCs/>
              </w:rPr>
              <w:t xml:space="preserve">Adopt the specific local strengthenings described in Part II</w:t>
            </w:r>
            <w:r>
              <w:t xml:space="preserve"> — grouped into seven categories ranging from administrative-use limits to public accountability; and</w:t>
            </w:r>
          </w:p>
          <w:p>
            <w:pPr>
              <w:pStyle w:val="ListParagraph"/>
              <w:numPr>
                <w:ilvl w:val="0"/>
                <w:numId w:val="2"/>
              </w:numPr>
              <w:spacing w:after="200"/>
            </w:pPr>
            <w:r>
              <w:rPr>
                <w:b/>
                <w:bCs/>
              </w:rPr>
              <w:t xml:space="preserve">Advance a broader surveillance-governance ordinance</w:t>
            </w:r>
            <w:r>
              <w:t xml:space="preserve"> so future technologies are not added in piecemeal department-policy form without public notice and Council approval.</w:t>
            </w:r>
          </w:p>
          <w:p>
            <w:pPr>
              <w:pBdr>
                <w:top w:val="single" w:color="1F3A66" w:sz="4" w:space="8"/>
              </w:pBdr>
              <w:spacing w:after="0"/>
            </w:pPr>
            <w:r>
              <w:rPr>
                <w:b/>
                <w:bCs/>
                <w:color w:val="1F3A66"/>
              </w:rPr>
              <w:t xml:space="preserve">The most urgent statutory issue is outside-agency access. </w:t>
            </w:r>
            <w:r>
              <w:t xml:space="preserve">SB 1516 creates a default prohibition on access by government entities not created pursuant to Oregon law, then allows only narrow, purpose-limited access with </w:t>
            </w:r>
            <w:r>
              <w:rPr>
                <w:i/>
                <w:iCs/>
              </w:rPr>
              <w:t xml:space="preserve">no unrestricted or ongoing access</w:t>
            </w:r>
            <w:r>
              <w:t xml:space="preserve">. Policy 428 should say that plainly. It currently does not.</w:t>
            </w:r>
          </w:p>
        </w:tc>
      </w:tr>
    </w:tbl>
    <w:p>
      <w:pPr>
        <w:spacing w:after="160" w:line="288"/>
        <w:jc w:val="both"/>
      </w:pPr>
      <w:r>
        <w:t xml:space="preserve"/>
      </w:r>
    </w:p>
    <w:p>
      <w:pPr>
        <w:pStyle w:val="Heading1"/>
      </w:pPr>
      <w:r>
        <w:t xml:space="preserve">Part I — Where Policy 428 does not yet fully implement SB 1516</w:t>
      </w:r>
    </w:p>
    <w:p>
      <w:pPr>
        <w:spacing w:after="160" w:line="288"/>
        <w:jc w:val="both"/>
      </w:pPr>
      <w:r>
        <w:t xml:space="preserve">Before Council considers whether Policy 428 goes far enough as a local matter, Council should ensure it satisfies the statutory minimum. The most significant compliance and implementation gaps are listed below. A detailed section-by-section comparison is provided in Exhibit A.</w:t>
      </w:r>
    </w:p>
    <w:p>
      <w:pPr>
        <w:pStyle w:val="Heading2"/>
      </w:pPr>
      <w:r>
        <w:t xml:space="preserve">Statutory compliance gaps</w:t>
      </w:r>
    </w:p>
    <w:p>
      <w:pPr>
        <w:spacing w:after="160" w:line="288"/>
        <w:jc w:val="both"/>
      </w:pPr>
      <w:r>
        <w:t xml:space="preserve">The following items reflect places where Policy 428 either omits requirements imposed by SB 1516 or adopts language broader than the statute permits.</w:t>
      </w:r>
    </w:p>
    <w:p>
      <w:pPr>
        <w:spacing w:after="160" w:line="288"/>
        <w:jc w:val="both"/>
      </w:pPr>
      <w:r>
        <w:rPr>
          <w:b/>
          <w:bCs/>
        </w:rPr>
        <w:t xml:space="preserve">A. No definitions section. </w:t>
      </w:r>
      <w:r>
        <w:t xml:space="preserve">SB 1516 §3 defines eight key terms (alert, authorized user, ALPR system, captured license plate data, hot list, law enforcement agency, law enforcement purpose, secured area). Policy 428 has none. Without definitions, terms like "law enforcement purpose" and "secured area" are left to interpretation, which weakens enforceability of the policy's own limits.</w:t>
      </w:r>
    </w:p>
    <w:p>
      <w:pPr>
        <w:spacing w:after="160" w:line="288"/>
        <w:jc w:val="both"/>
      </w:pPr>
      <w:r>
        <w:rPr>
          <w:b/>
          <w:bCs/>
        </w:rPr>
        <w:t xml:space="preserve">B. The default prohibition on sharing data with non-Oregon-created agencies is missing. </w:t>
      </w:r>
      <w:r>
        <w:t xml:space="preserve">SB 1516 §5(2)(a) states that a law enforcement agency "may not provide access to captured license plate data to any government entity or agency not created pursuant to the Oregon Constitution, or the laws or regulations of this state," except under the narrow conditions in §5(2)(b). Policy 428 currently authorizes sharing with "authorized and verified law enforcement officials or agencies" generally and does not codify this default-prohibition rule. This is the single most important compliance gap, because it determines how requests from federal and out-of-state agencies are handled.</w:t>
      </w:r>
    </w:p>
    <w:p>
      <w:pPr>
        <w:spacing w:after="160" w:line="288"/>
        <w:jc w:val="both"/>
      </w:pPr>
      <w:r>
        <w:rPr>
          <w:b/>
          <w:bCs/>
        </w:rPr>
        <w:t xml:space="preserve">C. Substantive limits on outside-agency data sharing are missing. </w:t>
      </w:r>
      <w:r>
        <w:t xml:space="preserve">SB 1516 §5(2)(b) requires that data shared under the narrow exception "be limited to data relevant to the law enforcement purpose" and "may not include unrestricted or ongoing access." Policy 428 does not include either qualifier. As written, the policy could be read to permit broader outside-agency access than the statute allows.</w:t>
      </w:r>
    </w:p>
    <w:p>
      <w:pPr>
        <w:spacing w:after="160" w:line="288"/>
        <w:jc w:val="both"/>
      </w:pPr>
      <w:r>
        <w:rPr>
          <w:b/>
          <w:bCs/>
        </w:rPr>
        <w:t xml:space="preserve">D. The monthly vendor audit is missing required per-search fields. </w:t>
      </w:r>
      <w:r>
        <w:t xml:space="preserve">SB 1516 §6(1)(i) requires the monthly vendor audit to include, for every search of captured plate data: authorized user identifier, date and time, and the law enforcement purpose entered. Policy 428.6.1 monthly audit list omits all three. Policy 428 only requires this level of detail in the quarterly audit, and only for searches conducted on behalf of other government entities.</w:t>
      </w:r>
    </w:p>
    <w:p>
      <w:pPr>
        <w:spacing w:after="160" w:line="288"/>
        <w:jc w:val="both"/>
      </w:pPr>
      <w:r>
        <w:rPr>
          <w:b/>
          <w:bCs/>
        </w:rPr>
        <w:t xml:space="preserve">E. Vendor contract requirements omit CJIS Security Addendum execution and security-incident notification. </w:t>
      </w:r>
      <w:r>
        <w:t xml:space="preserve">SB 1516 §7(2)(e)(D) requires vendor contracts to include "execution of the Federal Bureau of Investigation Criminal Justice Information Services Security Addendum, audit rights and prompt notification of security incidents." Policy 428.7 references CJIS compliance and audit rights but omits both the Security Addendum execution requirement and the security-incident notification requirement.</w:t>
      </w:r>
    </w:p>
    <w:p>
      <w:pPr>
        <w:spacing w:after="160" w:line="288"/>
        <w:jc w:val="both"/>
      </w:pPr>
      <w:r>
        <w:rPr>
          <w:b/>
          <w:bCs/>
        </w:rPr>
        <w:t xml:space="preserve">F. Policy 428's parking-use language is broader than what SB 1516 authorizes. </w:t>
      </w:r>
      <w:r>
        <w:t xml:space="preserve">SB 1516 §4(2)(g) authorizes ALPR use for "regulating the use of parking facilities" — a single, bounded purpose tied to specific facilities. Policy 428.3 authorizes ALPR use for "parking regulation and the management of parking facilities" — two distinct authorizations joined by "and." Adding the standalone phrase "parking regulation" expands the authorization beyond the statutory text, because "parking regulation" is not facility-bounded. Council should at minimum conform Policy 428 to the statutory phrase. As a local strengthening (see Part II), Council should further limit any parking-related ALPR use to City-owned or City-controlled parking facilities only.</w:t>
      </w:r>
    </w:p>
    <w:p>
      <w:pPr>
        <w:pStyle w:val="Heading2"/>
      </w:pPr>
      <w:r>
        <w:t xml:space="preserve">Implementation and clarity gaps</w:t>
      </w:r>
    </w:p>
    <w:p>
      <w:pPr>
        <w:spacing w:after="160" w:line="288"/>
        <w:jc w:val="both"/>
      </w:pPr>
      <w:r>
        <w:t xml:space="preserve">The following items are not categorical statutory violations, but the policy text departs from the statute in ways that should be conformed before adoption.</w:t>
      </w:r>
    </w:p>
    <w:p>
      <w:pPr>
        <w:spacing w:after="160" w:line="288"/>
        <w:jc w:val="both"/>
      </w:pPr>
      <w:r>
        <w:rPr>
          <w:b/>
          <w:bCs/>
        </w:rPr>
        <w:t xml:space="preserve">G. Vendor liability language is softer than the statute. </w:t>
      </w:r>
      <w:r>
        <w:t xml:space="preserve">SB 1516 §7(2)(e)(E) requires contracts to state that "the vendor may be held liable for the vendor's misuse or improper release of captured license plate data … including damages." Policy 428.7 only says misuse "may subject the vendor to contractual remedies and other relief as provided by law." The policy language should be conformed to the statute.</w:t>
      </w:r>
    </w:p>
    <w:p>
      <w:pPr>
        <w:spacing w:after="160" w:line="288"/>
        <w:jc w:val="both"/>
      </w:pPr>
      <w:r>
        <w:rPr>
          <w:b/>
          <w:bCs/>
        </w:rPr>
        <w:t xml:space="preserve">H. Outside-agency search log is missing a required field. </w:t>
      </w:r>
      <w:r>
        <w:t xml:space="preserve">SB 1516 §5(2)(b)(C) requires the live search log to capture "the number of cameras or devices that were accessed or used as part of the search" for outside-agency searches. Policy 428.6.2 does not include this field; it appears only in the quarterly audit.</w:t>
      </w:r>
    </w:p>
    <w:p>
      <w:pPr>
        <w:spacing w:after="160" w:line="288"/>
        <w:jc w:val="both"/>
      </w:pPr>
      <w:r>
        <w:rPr>
          <w:b/>
          <w:bCs/>
        </w:rPr>
        <w:t xml:space="preserve">I. Vendor request-redirection language is less precise. </w:t>
      </w:r>
      <w:r>
        <w:t xml:space="preserve">SB 1516 §7(2)(e)(B) specifically requires that judicial warrants, judicial subpoenas, and administrative subpoenas received by the vendor be redirected to the agency. Policy 428.7 captures the general idea but does not enumerate these legal-process categories.</w:t>
      </w:r>
    </w:p>
    <w:p>
      <w:pPr>
        <w:spacing w:after="160" w:line="288"/>
        <w:jc w:val="both"/>
      </w:pPr>
      <w:r>
        <w:rPr>
          <w:b/>
          <w:bCs/>
        </w:rPr>
        <w:t xml:space="preserve">J. Policy 428 should acknowledge SB 1516's vendor-liability and civil-action provisions. </w:t>
      </w:r>
      <w:r>
        <w:t xml:space="preserve">SB 1516 §9 establishes a private right of action against vendors who misuse data, with attorney fees available, and gives any person standing to sue for injunctive relief. Policy 428 does not need to restate every statutory remedy, but it should at least acknowledge §9 so vendors, staff, and the public understand that misuse has consequences beyond internal discipline or contract remedies.</w:t>
      </w:r>
    </w:p>
    <w:p>
      <w:pPr>
        <w:spacing w:after="160" w:line="288"/>
        <w:jc w:val="both"/>
      </w:pPr>
      <w:r>
        <w:t xml:space="preserve">Each of these is a discrete, fixable change. Bend should not adopt Policy 428 in its current form without first conforming the policy to the statutory text it is meant to implement.</w:t>
      </w:r>
    </w:p>
    <w:p>
      <w:pPr>
        <w:pStyle w:val="Heading1"/>
      </w:pPr>
      <w:r>
        <w:t xml:space="preserve">Part II — Local strengthenings I am asking Council to require</w:t>
      </w:r>
    </w:p>
    <w:p>
      <w:pPr>
        <w:spacing w:after="160" w:line="288"/>
        <w:jc w:val="both"/>
      </w:pPr>
      <w:r>
        <w:t xml:space="preserve">These local strengthenings fall into seven categories: administrative-use limits, sensitive-location and occupant protections, outside-agency controls, retention and historical-search limits, vendor and cybersecurity controls, public accountability and complaint redress, and Council-approval requirements.</w:t>
      </w:r>
    </w:p>
    <w:p>
      <w:pPr>
        <w:spacing w:after="160" w:line="288"/>
        <w:jc w:val="both"/>
      </w:pPr>
      <w:r>
        <w:t xml:space="preserve">Each is intended to operate above SB 1516's statewide floor; to my knowledge, none asks the City to use ALPRs in a way state law prohibits. Several of the items below are choices the legislature explicitly left to local governments. The numbered items track the order in which I would prioritize them; the categorical headings show how they fit together.</w:t>
      </w:r>
    </w:p>
    <w:p>
      <w:pPr>
        <w:spacing w:after="100" w:before="200"/>
      </w:pPr>
      <w:r>
        <w:rPr>
          <w:b/>
          <w:bCs/>
          <w:color w:val="1F3A66"/>
          <w:sz w:val="24"/>
          <w:szCs w:val="24"/>
        </w:rPr>
        <w:t xml:space="preserve">Administrative-use limits</w:t>
      </w:r>
    </w:p>
    <w:p>
      <w:pPr>
        <w:pStyle w:val="ListParagraph"/>
        <w:numPr>
          <w:ilvl w:val="0"/>
          <w:numId w:val="3"/>
        </w:numPr>
        <w:spacing w:after="120" w:line="280"/>
        <w:jc w:val="both"/>
      </w:pPr>
      <w:r>
        <w:rPr>
          <w:b/>
          <w:bCs/>
        </w:rPr>
        <w:t xml:space="preserve">Remove ALPR use for identifying uninsured vehicles, identifying unregistered vehicles, and general parking regulation.</w:t>
      </w:r>
    </w:p>
    <w:p>
      <w:pPr>
        <w:spacing w:after="180" w:line="288"/>
        <w:jc w:val="both"/>
      </w:pPr>
      <w:r>
        <w:t xml:space="preserve">SB 1516 §4(2)(e)–(g) authorizes — but does not mandate — ALPR use for uninsured vehicles, unregistered vehicles, and parking-facility regulation. Each is permissive, not required. A local decision to opt out of these uses is fully consistent with state law and is precisely the kind of local choice the legislature left open. These categories are not the same as using ALPRs to locate stolen vehicles, wanted vehicles, missing persons, or vehicles associated with serious criminal investigations. They are administrative or financial-status enforcement categories. A resident may be uninsured or behind on registration because they cannot afford insurance, registration fees, repairs, fines, or other costs of keeping a vehicle legally compliant. Using automated cameras to search broadly for those conditions risks turning ALPRs into a poverty-enforcement tool. The practical burden is likely to fall hardest on low-income residents, people with unstable housing or employment, people living in vehicles, and residents already exposed to fines, fees, and enforcement systems. Bend should not automate enforcement categories likely to deepen financial hardship without first requiring a public equity analysis, Council approval, and clear evidence that the public-safety benefit outweighs the harm.</w:t>
      </w:r>
    </w:p>
    <w:p>
      <w:pPr>
        <w:pStyle w:val="ListParagraph"/>
        <w:numPr>
          <w:ilvl w:val="0"/>
          <w:numId w:val="3"/>
        </w:numPr>
        <w:spacing w:after="120" w:line="280"/>
        <w:jc w:val="both"/>
      </w:pPr>
      <w:r>
        <w:rPr>
          <w:b/>
          <w:bCs/>
        </w:rPr>
        <w:t xml:space="preserve">Narrow any parking-related ALPR use to City-owned or City-controlled facilities only.</w:t>
      </w:r>
    </w:p>
    <w:p>
      <w:pPr>
        <w:spacing w:after="180" w:line="288"/>
        <w:jc w:val="both"/>
      </w:pPr>
      <w:r>
        <w:t xml:space="preserve">Even after conforming Policy 428 to SB 1516's "regulating the use of parking facilities" language (see Part I, Item F), the term "parking facilities" should be defined narrowly. "Management of parking facilities" can be understood narrowly, such as controlled access or payment compliance in a specific City-owned or City-controlled facility. Any broader reading could justify routine plate scanning across parks, neighborhoods, downtown areas, event areas, and other public spaces where people are simply going about their lives — including near homes, parks, shelters, churches, medical offices, legal services, political meetings, mutual-aid sites, or places where people sleep in vehicles. A system presented as a serious-crime tool can quickly become a routine civic-compliance dragnet if "parking facilities" is left undefined. If Council allows any parking-related ALPR use, it should be limited to City-owned or City-controlled parking facilities only, with immediate deletion of non-violation reads and no access by parking contractors unless Council separately approves that arrangement after public notice and a surveillance impact review.</w:t>
      </w:r>
    </w:p>
    <w:p>
      <w:pPr>
        <w:spacing w:after="100" w:before="200"/>
      </w:pPr>
      <w:r>
        <w:rPr>
          <w:b/>
          <w:bCs/>
          <w:color w:val="1F3A66"/>
          <w:sz w:val="24"/>
          <w:szCs w:val="24"/>
        </w:rPr>
        <w:t xml:space="preserve">Sensitive-location and occupant protections</w:t>
      </w:r>
    </w:p>
    <w:p>
      <w:pPr>
        <w:pStyle w:val="ListParagraph"/>
        <w:numPr>
          <w:ilvl w:val="0"/>
          <w:numId w:val="3"/>
        </w:numPr>
        <w:spacing w:after="120" w:line="280"/>
        <w:jc w:val="both"/>
      </w:pPr>
      <w:r>
        <w:rPr>
          <w:b/>
          <w:bCs/>
        </w:rPr>
        <w:t xml:space="preserve">Prohibit use of ALPR images to observe vehicle occupants or vehicle interiors.</w:t>
      </w:r>
    </w:p>
    <w:p>
      <w:pPr>
        <w:spacing w:after="180" w:line="288"/>
        <w:jc w:val="both"/>
      </w:pPr>
      <w:r>
        <w:t xml:space="preserve">ALPR systems should read license plates. They should not be used to observe, identify, classify, assess, or document vehicle occupants, passengers, personal belongings, disability-related equipment, sleeping materials, housing status, appearance, perceived race, ethnicity, gender, disability, economic status, political expression, or other sensitive characteristics. This is especially important if ALPRs are used for administrative or parking purposes, because those uses are more likely to involve repeated scans of parked vehicles, including vehicles used as shelter. The policy should require plate-focused capture only and require masking, minimization, blurring, or restriction of non-plate imagery wherever technically feasible.</w:t>
      </w:r>
    </w:p>
    <w:p>
      <w:pPr>
        <w:pStyle w:val="ListParagraph"/>
        <w:numPr>
          <w:ilvl w:val="0"/>
          <w:numId w:val="3"/>
        </w:numPr>
        <w:spacing w:after="120" w:line="280"/>
        <w:jc w:val="both"/>
      </w:pPr>
      <w:r>
        <w:rPr>
          <w:b/>
          <w:bCs/>
        </w:rPr>
        <w:t xml:space="preserve">Prohibit ALPR monitoring of sensitive locations and survival-related activity.</w:t>
      </w:r>
    </w:p>
    <w:p>
      <w:pPr>
        <w:spacing w:after="180" w:line="288"/>
        <w:jc w:val="both"/>
      </w:pPr>
      <w:r>
        <w:t xml:space="preserve">Bend should not use ALPRs to identify, track, map, analyze, or document visits to or presence near sensitive locations, including houses of worship, medical facilities, reproductive or gender-affirming care providers, addiction-treatment providers, legal-aid offices, immigration-service providers, shelters, camps, safe-parking sites, meal sites, hygiene sites, outreach locations, libraries, schools, polling places, union activity, political meetings, protests, or places used by unhoused people for shelter or survival services. Location surveillance can chill lawful activity even when no enforcement action follows. Residents should not have to wonder whether attending a protest, visiting a clinic, seeking legal help, attending a religious service, or sleeping in a vehicle will place them into a government vehicle-location dataset.</w:t>
      </w:r>
    </w:p>
    <w:p>
      <w:pPr>
        <w:spacing w:after="100" w:before="200"/>
      </w:pPr>
      <w:r>
        <w:rPr>
          <w:b/>
          <w:bCs/>
          <w:color w:val="1F3A66"/>
          <w:sz w:val="24"/>
          <w:szCs w:val="24"/>
        </w:rPr>
        <w:t xml:space="preserve">Outside-agency controls</w:t>
      </w:r>
    </w:p>
    <w:p>
      <w:pPr>
        <w:pStyle w:val="ListParagraph"/>
        <w:numPr>
          <w:ilvl w:val="0"/>
          <w:numId w:val="3"/>
        </w:numPr>
        <w:spacing w:after="120" w:line="280"/>
        <w:jc w:val="both"/>
      </w:pPr>
      <w:r>
        <w:rPr>
          <w:b/>
          <w:bCs/>
        </w:rPr>
        <w:t xml:space="preserve">Strengthen outside-agency request standards.</w:t>
      </w:r>
    </w:p>
    <w:p>
      <w:pPr>
        <w:spacing w:after="180" w:line="288"/>
        <w:jc w:val="both"/>
      </w:pPr>
      <w:r>
        <w:t xml:space="preserve">Policy 428 makes a good start by limiting certain federal access and prohibiting civil immigration enforcement use. However, terms like "specific criminal investigation" and "verified criminal investigation" — the latter taken from Policy 428.6.3 itself — need clearer standards. A federal or out-of-state agency should not be able to obtain Bend ALPR data merely by invoking a broad label such as "domestic terrorism," "gang investigation," "drug trafficking," or another general category. This proposal is also the operational implementation of the SB 1516 §5(2)(b) requirement that data be "limited to data relevant to the law enforcement purpose" with "no unrestricted or ongoing access" — a requirement currently missing from Policy 428. Before Bend PD conducts an ALPR search on behalf of another government entity or discloses captured ALPR data to another government entity, the requesting entity should be required to provide, in writing: the requesting agency and requesting officer or employee; a specific case name or case number; the suspected offense; the factual basis tying the request to the specific investigation; the date range, location, vehicle, or plate information sought; the legal authority for the request; and a certification that the request is not for civil immigration enforcement, out-of-state abortion-related enforcement, First Amendment monitoring, protected-characteristic targeting, sensitive-location monitoring, or any other purpose prohibited by Oregon law or City policy. These requirements would not eliminate every possibility of abuse, but they would make abuse harder, create accountability, and give Bend PD a clear basis to deny vague or pretextual requests.</w:t>
      </w:r>
    </w:p>
    <w:p>
      <w:pPr>
        <w:pStyle w:val="ListParagraph"/>
        <w:numPr>
          <w:ilvl w:val="0"/>
          <w:numId w:val="3"/>
        </w:numPr>
        <w:spacing w:after="120" w:line="280"/>
        <w:jc w:val="both"/>
      </w:pPr>
      <w:r>
        <w:rPr>
          <w:b/>
          <w:bCs/>
        </w:rPr>
        <w:t xml:space="preserve">Require warrant, court order, or documented emergency before accessing privately collected ALPR data.</w:t>
      </w:r>
    </w:p>
    <w:p>
      <w:pPr>
        <w:spacing w:after="180" w:line="288"/>
        <w:jc w:val="both"/>
      </w:pPr>
      <w:r>
        <w:t xml:space="preserve">Policy 428.6 currently mirrors SB 1516 §4(7), which permits a law enforcement agency to request access to ALPR data collected by private entities or non–law enforcement organizations for an authorized law enforcement purpose. The statute neither requires a warrant for this access nor forbids local agencies from requiring one. As written, the policy creates a pathway for Bend PD to obtain privately collected plate-location data without clear Council approval, public notice, or a warrant/court-order standard. Private ALPR data may come from shopping centers, HOAs, parking vendors, business districts, private security companies, commercial databases, or other non-law-enforcement systems. If Bend residents reject a public ALPR network, the City should not be able to recreate one indirectly through private data access. Bend can lawfully impose a warrant/court-order requirement on this access.</w:t>
      </w:r>
    </w:p>
    <w:p>
      <w:pPr>
        <w:spacing w:after="100" w:before="200"/>
      </w:pPr>
      <w:r>
        <w:rPr>
          <w:b/>
          <w:bCs/>
          <w:color w:val="1F3A66"/>
          <w:sz w:val="24"/>
          <w:szCs w:val="24"/>
        </w:rPr>
        <w:t xml:space="preserve">Retention and historical-search limits</w:t>
      </w:r>
    </w:p>
    <w:p>
      <w:pPr>
        <w:pStyle w:val="ListParagraph"/>
        <w:numPr>
          <w:ilvl w:val="0"/>
          <w:numId w:val="3"/>
        </w:numPr>
        <w:spacing w:after="120" w:line="280"/>
        <w:jc w:val="both"/>
      </w:pPr>
      <w:r>
        <w:rPr>
          <w:b/>
          <w:bCs/>
        </w:rPr>
        <w:t xml:space="preserve">Require a warrant for historical ALPR searches and pattern-of-life analysis.</w:t>
      </w:r>
    </w:p>
    <w:p>
      <w:pPr>
        <w:spacing w:after="180" w:line="288"/>
        <w:jc w:val="both"/>
      </w:pPr>
      <w:r>
        <w:t xml:space="preserve">SB 1516 does not require a warrant for historical searches — §4 sets purpose-based restrictions but not a probable-cause threshold for retrospective queries within the 30-day window. Real-time alert confirmation is different from searching historical vehicle-location records. Historical ALPR searches can reconstruct a person's movements, routines, associations, and visits to sensitive places. That is a much deeper privacy intrusion than confirming whether a vehicle currently matches a valid stolen-vehicle or missing-person alert. Bend should require a warrant supported by probable cause for historical ALPR searches, route reconstruction, pattern-of-life analysis, co-traveler analysis, or retrospective vehicle-movement analysis, except where controlling law requires a narrower exception.</w:t>
      </w:r>
    </w:p>
    <w:p>
      <w:pPr>
        <w:pStyle w:val="ListParagraph"/>
        <w:numPr>
          <w:ilvl w:val="0"/>
          <w:numId w:val="3"/>
        </w:numPr>
        <w:spacing w:after="120" w:line="280"/>
        <w:jc w:val="both"/>
      </w:pPr>
      <w:r>
        <w:rPr>
          <w:b/>
          <w:bCs/>
        </w:rPr>
        <w:t xml:space="preserve">Require automatic deletion of all non-hit, non-flagged ALPR data within 72 hours.</w:t>
      </w:r>
    </w:p>
    <w:p>
      <w:pPr>
        <w:spacing w:after="180" w:line="288"/>
        <w:jc w:val="both"/>
      </w:pPr>
      <w:r>
        <w:t xml:space="preserve">SB 1516 §4(3)(a) sets 30 days as a ceiling, not a floor. Bend may adopt a shorter retention period without any conflict with state law. If a plate read is not tied to a valid alert, specific investigation, court proceeding, or documented evidentiary need, there is no good reason to keep it for 30 days. Shorter retention reduces the risk of misuse, breach, fishing expeditions, retrospective tracking, and mission creep. Bend should require automatic deletion of non-hit, non-flagged ALPR data within 72 hours and prohibit historical bulk datasets maintained for speculative future use.</w:t>
      </w:r>
    </w:p>
    <w:p>
      <w:pPr>
        <w:spacing w:after="100" w:before="200"/>
      </w:pPr>
      <w:r>
        <w:rPr>
          <w:b/>
          <w:bCs/>
          <w:color w:val="1F3A66"/>
          <w:sz w:val="24"/>
          <w:szCs w:val="24"/>
        </w:rPr>
        <w:t xml:space="preserve">Vendor and cybersecurity controls</w:t>
      </w:r>
    </w:p>
    <w:p>
      <w:pPr>
        <w:pStyle w:val="ListParagraph"/>
        <w:numPr>
          <w:ilvl w:val="0"/>
          <w:numId w:val="3"/>
        </w:numPr>
        <w:spacing w:after="120" w:line="280"/>
        <w:jc w:val="both"/>
      </w:pPr>
      <w:r>
        <w:rPr>
          <w:b/>
          <w:bCs/>
        </w:rPr>
        <w:t xml:space="preserve">Require Department-controlled encryption keys and prohibit vendors from independently decrypting Bend ALPR data.</w:t>
      </w:r>
    </w:p>
    <w:p>
      <w:pPr>
        <w:spacing w:after="180" w:line="288"/>
        <w:jc w:val="both"/>
      </w:pPr>
      <w:r>
        <w:t xml:space="preserve">SB 1516 §7(2)(e)(C) requires end-to-end encryption but is silent on key control. Encryption is not enough if the vendor can independently decrypt the data. SB 1516 §9(1)(b)(A) permits vendors to access plate data "for the limited duration and purpose of providing technical support" with agency consent, but the statute does not require that this access be technically constrained by key management. Council can close that loophole locally. Vendor contracts should require Department-controlled key management. Vendors should not possess, control, escrow, recover, derive, or have persistent access to encryption or decryption keys for Bend ALPR data. Any vendor technical-support access should be time-limited, logged, approved in advance, and structured so the Department retains exclusive control over decryption. This is necessary because ALPR data is location data. If compromised or misused, it can reveal where people live, work, worship, seek medical care, attend political activity, access legal services, or sleep.</w:t>
      </w:r>
    </w:p>
    <w:p>
      <w:pPr>
        <w:pStyle w:val="ListParagraph"/>
        <w:numPr>
          <w:ilvl w:val="0"/>
          <w:numId w:val="3"/>
        </w:numPr>
        <w:spacing w:after="120" w:line="280"/>
        <w:jc w:val="both"/>
      </w:pPr>
      <w:r>
        <w:rPr>
          <w:b/>
          <w:bCs/>
        </w:rPr>
        <w:t xml:space="preserve">Prohibit sharing ALPR data with private companies, data brokers, insurers, repossession services, parking contractors, or commercial enforcement entities unless specifically required by law or separately approved by Council.</w:t>
      </w:r>
    </w:p>
    <w:p>
      <w:pPr>
        <w:spacing w:after="180" w:line="288"/>
        <w:jc w:val="both"/>
      </w:pPr>
      <w:r>
        <w:t xml:space="preserve">This is especially important because the policy authorizes uninsured-vehicle detection and parking regulation. Without a clear local prohibition, ALPR data could become useful to private actors whose interests are not the same as the public's interest in safety, privacy, and fair treatment. Any Council approval of such sharing should be made only after public notice and a surveillance impact review.</w:t>
      </w:r>
    </w:p>
    <w:p>
      <w:pPr>
        <w:pStyle w:val="ListParagraph"/>
        <w:numPr>
          <w:ilvl w:val="0"/>
          <w:numId w:val="3"/>
        </w:numPr>
        <w:spacing w:after="120" w:line="280"/>
        <w:jc w:val="both"/>
      </w:pPr>
      <w:r>
        <w:rPr>
          <w:b/>
          <w:bCs/>
        </w:rPr>
        <w:t xml:space="preserve">Prohibit vendors from using Bend ALPR data to train, test, improve, validate, benchmark, or develop algorithms, analytics, AI systems, or commercial products.</w:t>
      </w:r>
    </w:p>
    <w:p>
      <w:pPr>
        <w:spacing w:after="180" w:line="288"/>
        <w:jc w:val="both"/>
      </w:pPr>
      <w:r>
        <w:t xml:space="preserve">This prohibition should apply even to de-identified, pseudonymized, aggregate, sample, derived, or test data. Bend residents should not become unpaid training data for surveillance vendors.</w:t>
      </w:r>
    </w:p>
    <w:p>
      <w:pPr>
        <w:spacing w:after="100" w:before="200"/>
      </w:pPr>
      <w:r>
        <w:rPr>
          <w:b/>
          <w:bCs/>
          <w:color w:val="1F3A66"/>
          <w:sz w:val="24"/>
          <w:szCs w:val="24"/>
        </w:rPr>
        <w:t xml:space="preserve">Public accountability and complaint redress</w:t>
      </w:r>
    </w:p>
    <w:p>
      <w:pPr>
        <w:pStyle w:val="ListParagraph"/>
        <w:numPr>
          <w:ilvl w:val="0"/>
          <w:numId w:val="3"/>
        </w:numPr>
        <w:spacing w:after="120" w:line="280"/>
        <w:jc w:val="both"/>
      </w:pPr>
      <w:r>
        <w:rPr>
          <w:b/>
          <w:bCs/>
        </w:rPr>
        <w:t xml:space="preserve">Require public request-level reporting, including denied, withdrawn, rejected, or unexecuted outside-agency requests.</w:t>
      </w:r>
    </w:p>
    <w:p>
      <w:pPr>
        <w:spacing w:after="180" w:line="288"/>
        <w:jc w:val="both"/>
      </w:pPr>
      <w:r>
        <w:t xml:space="preserve">SB 1516's audit requirements (§6) capture searches conducted, not requests received and refused. There is a real transparency gap here that even a fully-compliant Policy 428 would not close. Public audit reporting should include all outside-agency requests for ALPR searches or captured ALPR data, including the requesting agency, date of request, general purpose asserted, suspected offense category, whether a search was performed, whether data was disclosed, and the disposition of the request. This matters because improper pressure from outside agencies is itself a public concern. If Bend is successfully refusing improper requests, the public should be able to see that. If certain agencies repeatedly ask for access, the public should be able to see that too.</w:t>
      </w:r>
    </w:p>
    <w:p>
      <w:pPr>
        <w:pStyle w:val="ListParagraph"/>
        <w:numPr>
          <w:ilvl w:val="0"/>
          <w:numId w:val="3"/>
        </w:numPr>
        <w:spacing w:after="120" w:line="280"/>
        <w:jc w:val="both"/>
      </w:pPr>
      <w:r>
        <w:rPr>
          <w:b/>
          <w:bCs/>
        </w:rPr>
        <w:t xml:space="preserve">Require publication of the actual monthly and quarterly vendor audit results, in searchable form, subject only to legally required redactions.</w:t>
      </w:r>
    </w:p>
    <w:p>
      <w:pPr>
        <w:spacing w:after="180" w:line="288"/>
        <w:jc w:val="both"/>
      </w:pPr>
      <w:r>
        <w:t xml:space="preserve">SB 1516 §6(3) and Policy 428.6.1 require audit results to be made publicly accessible within two business days, but neither specifies what "audit results" means in practice. As written, the City could satisfy this requirement by publishing a high-level dashboard or summary while declining to release the underlying vendor reports. Public oversight depends on access to the actual data fields enumerated in SB 1516 §6(1) and §6(2) — searches conducted, agencies with access, cameras and devices used, alerts generated, and the per-search detail in §6(1)(i). Bend should require publication of the actual monthly and quarterly vendor audit reports themselves, in the searchable form SB 1516 §6(1) and §6(2) require the vendor to provide, subject only to redactions legally required by ORS 192.345(44)(a) or other applicable law.</w:t>
      </w:r>
    </w:p>
    <w:p>
      <w:pPr>
        <w:pStyle w:val="ListParagraph"/>
        <w:numPr>
          <w:ilvl w:val="0"/>
          <w:numId w:val="3"/>
        </w:numPr>
        <w:spacing w:after="120" w:line="280"/>
        <w:jc w:val="both"/>
      </w:pPr>
      <w:r>
        <w:rPr>
          <w:b/>
          <w:bCs/>
        </w:rPr>
        <w:t xml:space="preserve">Create a public complaint and redress process.</w:t>
      </w:r>
    </w:p>
    <w:p>
      <w:pPr>
        <w:spacing w:after="180" w:line="288"/>
        <w:jc w:val="both"/>
      </w:pPr>
      <w:r>
        <w:t xml:space="preserve">Residents should have a clear way to report misuse, discriminatory use, overcollection, inaccurate data, unlawful sharing, unlawful retention, unauthorized feature activation, or failure to comply with policy. The City should acknowledge complaints and provide a written disposition when legally permitted. A policy without a complaint process relies almost entirely on internal discovery of problems. That is not enough for a technology capable of collecting historical location information about thousands of people who are not suspected of wrongdoing.</w:t>
      </w:r>
    </w:p>
    <w:p>
      <w:pPr>
        <w:pStyle w:val="ListParagraph"/>
        <w:numPr>
          <w:ilvl w:val="0"/>
          <w:numId w:val="3"/>
        </w:numPr>
        <w:spacing w:after="120" w:line="280"/>
        <w:jc w:val="both"/>
      </w:pPr>
      <w:r>
        <w:rPr>
          <w:b/>
          <w:bCs/>
        </w:rPr>
        <w:t xml:space="preserve">Require automatic suspension of the ALPR program after serious failures.</w:t>
      </w:r>
    </w:p>
    <w:p>
      <w:pPr>
        <w:spacing w:after="180" w:line="288"/>
        <w:jc w:val="both"/>
      </w:pPr>
      <w:r>
        <w:t xml:space="preserve">The ALPR program should automatically suspend after unauthorized vendor access, unlawful sharing, unapproved feature activation, significant audit failure, serious breach, repeated or systemic misuse, or loss of required encryption, key control, logging, or access controls. Suspension triggers are necessary because some failures cannot be fixed while the system continues operating as usual. If the safeguards fail, the program should pause until Council and the public know what happened, what data was affected, and what corrective action has been completed.</w:t>
      </w:r>
    </w:p>
    <w:p>
      <w:pPr>
        <w:pStyle w:val="ListParagraph"/>
        <w:numPr>
          <w:ilvl w:val="0"/>
          <w:numId w:val="3"/>
        </w:numPr>
        <w:spacing w:after="120" w:line="280"/>
        <w:jc w:val="both"/>
      </w:pPr>
      <w:r>
        <w:rPr>
          <w:b/>
          <w:bCs/>
        </w:rPr>
        <w:t xml:space="preserve">Maintain a public inventory and require annual public reauthorization.</w:t>
      </w:r>
    </w:p>
    <w:p>
      <w:pPr>
        <w:spacing w:after="180" w:line="288"/>
        <w:jc w:val="both"/>
      </w:pPr>
      <w:r>
        <w:t xml:space="preserve">The City should maintain a public inventory of all ALPR systems, vendors, contracts, integrations, data-sharing arrangements, approved uses, retention settings, and governing policies. Council should require annual public review and reauthorization of any ALPR program. If the program is worth keeping, it should be able to withstand regular public review.</w:t>
      </w:r>
    </w:p>
    <w:p>
      <w:pPr>
        <w:spacing w:after="100" w:before="200"/>
      </w:pPr>
      <w:r>
        <w:rPr>
          <w:b/>
          <w:bCs/>
          <w:color w:val="1F3A66"/>
          <w:sz w:val="24"/>
          <w:szCs w:val="24"/>
        </w:rPr>
        <w:t xml:space="preserve">Council-approval requirements</w:t>
      </w:r>
    </w:p>
    <w:p>
      <w:pPr>
        <w:pStyle w:val="ListParagraph"/>
        <w:numPr>
          <w:ilvl w:val="0"/>
          <w:numId w:val="3"/>
        </w:numPr>
        <w:spacing w:after="120" w:line="280"/>
        <w:jc w:val="both"/>
      </w:pPr>
      <w:r>
        <w:rPr>
          <w:b/>
          <w:bCs/>
        </w:rPr>
        <w:t xml:space="preserve">Require City Council approval before any ALPR grant, pilot, renewal, contract amendment, feature activation, software-enabled capability, data-sharing network, retention change, private-data access pathway, or material expansion of use.</w:t>
      </w:r>
    </w:p>
    <w:p>
      <w:pPr>
        <w:spacing w:after="180" w:line="288"/>
        <w:jc w:val="both"/>
      </w:pPr>
      <w:r>
        <w:t xml:space="preserve">Policy 428.7 already says contracts cannot be "renewed, extended, or materially amended" without compliance, but it says nothing about Council approval, vendor feature toggles, or software updates that expand capability. Surveillance capability often expands after procurement through software updates, integrations, vendor dashboards, AI modules, feature toggles, retention changes, or data-sharing arrangements. Council approval of one camera system should not become approval for every later feature the vendor can enable. Any ambiguity should be resolved in favor of public notice and Council approval.</w:t>
      </w:r>
    </w:p>
    <w:p>
      <w:pPr>
        <w:pStyle w:val="ListParagraph"/>
        <w:numPr>
          <w:ilvl w:val="0"/>
          <w:numId w:val="3"/>
        </w:numPr>
        <w:spacing w:after="120" w:line="280"/>
        <w:jc w:val="both"/>
      </w:pPr>
      <w:r>
        <w:rPr>
          <w:b/>
          <w:bCs/>
        </w:rPr>
        <w:t xml:space="preserve">Require a complete public review packet before approval or renewal.</w:t>
      </w:r>
    </w:p>
    <w:p>
      <w:pPr>
        <w:spacing w:after="180" w:line="288"/>
        <w:jc w:val="both"/>
      </w:pPr>
      <w:r>
        <w:t xml:space="preserve">Before any ALPR acquisition, renewal, expansion, or material policy change, the City should publicly release a complete review packet at least 30 days before a public hearing. That packet should include a Surveillance Impact Report, Surveillance Use Policy, Cybersecurity and Encryption Addendum, Vendor and Data Governance Addendum, Civil Rights and Civil Liberties Impact Addendum, and ALPR-specific technology addendum. The public should not have to evaluate ALPR policy in fragments. Council and the community need to see the technology, vendor terms, data flows, retention settings, sharing pathways, civil-rights risks, cybersecurity risks, cost, alternatives, and proposed safeguards before approval.</w:t>
      </w:r>
    </w:p>
    <w:p>
      <w:pPr>
        <w:pStyle w:val="Heading1"/>
      </w:pPr>
      <w:r>
        <w:t xml:space="preserve">Part III — A broader surveillance-governance framework</w:t>
      </w:r>
    </w:p>
    <w:p>
      <w:pPr>
        <w:spacing w:after="160" w:line="288"/>
        <w:jc w:val="both"/>
      </w:pPr>
      <w:r>
        <w:t xml:space="preserve">These requests are not meant to suggest SB 1516 is unimportant. SB 1516 creates a statewide baseline. But Bend can and should adopt stronger local safeguards. The central question is not only whether Policy 428 can be defended as SB 1516-compliant. The question is whether Bend wants a local ALPR policy that reflects community values, privacy expectations, and democratic accountability.</w:t>
      </w:r>
    </w:p>
    <w:p>
      <w:pPr>
        <w:spacing w:after="160" w:line="288"/>
        <w:jc w:val="both"/>
      </w:pPr>
      <w:r>
        <w:t xml:space="preserve">There are also broader surveillance-governance issues that should be addressed beyond the ALPR policy itself. Many of those issues are addressed in the proposed Bend Surveillance Technology Accountability, Privacy, and Civil Rights Ordinance, including:</w:t>
      </w:r>
    </w:p>
    <w:p>
      <w:pPr>
        <w:pStyle w:val="ListParagraph"/>
        <w:numPr>
          <w:ilvl w:val="0"/>
          <w:numId w:val="4"/>
        </w:numPr>
        <w:spacing w:after="100" w:line="280"/>
      </w:pPr>
      <w:r>
        <w:t xml:space="preserve">Section 5, City Council Approval Required;</w:t>
      </w:r>
    </w:p>
    <w:p>
      <w:pPr>
        <w:pStyle w:val="ListParagraph"/>
        <w:numPr>
          <w:ilvl w:val="0"/>
          <w:numId w:val="4"/>
        </w:numPr>
        <w:spacing w:after="100" w:line="280"/>
      </w:pPr>
      <w:r>
        <w:t xml:space="preserve">Section 6, Required Pre-Approval Submissions;</w:t>
      </w:r>
    </w:p>
    <w:p>
      <w:pPr>
        <w:pStyle w:val="ListParagraph"/>
        <w:numPr>
          <w:ilvl w:val="0"/>
          <w:numId w:val="4"/>
        </w:numPr>
        <w:spacing w:after="100" w:line="280"/>
      </w:pPr>
      <w:r>
        <w:t xml:space="preserve">Section 7, Surveillance Impact Report;</w:t>
      </w:r>
    </w:p>
    <w:p>
      <w:pPr>
        <w:pStyle w:val="ListParagraph"/>
        <w:numPr>
          <w:ilvl w:val="0"/>
          <w:numId w:val="4"/>
        </w:numPr>
        <w:spacing w:after="100" w:line="280"/>
      </w:pPr>
      <w:r>
        <w:t xml:space="preserve">Section 8, Surveillance Use Policy;</w:t>
      </w:r>
    </w:p>
    <w:p>
      <w:pPr>
        <w:pStyle w:val="ListParagraph"/>
        <w:numPr>
          <w:ilvl w:val="0"/>
          <w:numId w:val="4"/>
        </w:numPr>
        <w:spacing w:after="100" w:line="280"/>
      </w:pPr>
      <w:r>
        <w:t xml:space="preserve">Section 9, General Prohibitions;</w:t>
      </w:r>
    </w:p>
    <w:p>
      <w:pPr>
        <w:pStyle w:val="ListParagraph"/>
        <w:numPr>
          <w:ilvl w:val="0"/>
          <w:numId w:val="4"/>
        </w:numPr>
        <w:spacing w:after="100" w:line="280"/>
      </w:pPr>
      <w:r>
        <w:t xml:space="preserve">Section 10, Sensitive-Location Protections;</w:t>
      </w:r>
    </w:p>
    <w:p>
      <w:pPr>
        <w:pStyle w:val="ListParagraph"/>
        <w:numPr>
          <w:ilvl w:val="0"/>
          <w:numId w:val="4"/>
        </w:numPr>
        <w:spacing w:after="100" w:line="280"/>
      </w:pPr>
      <w:r>
        <w:t xml:space="preserve">Section 11, Encryption, Identity, and Local Decryption Control;</w:t>
      </w:r>
    </w:p>
    <w:p>
      <w:pPr>
        <w:pStyle w:val="ListParagraph"/>
        <w:numPr>
          <w:ilvl w:val="0"/>
          <w:numId w:val="4"/>
        </w:numPr>
        <w:spacing w:after="100" w:line="280"/>
      </w:pPr>
      <w:r>
        <w:t xml:space="preserve">Section 12, Vendor Restrictions and Procurement Safeguards;</w:t>
      </w:r>
    </w:p>
    <w:p>
      <w:pPr>
        <w:pStyle w:val="ListParagraph"/>
        <w:numPr>
          <w:ilvl w:val="0"/>
          <w:numId w:val="4"/>
        </w:numPr>
        <w:spacing w:after="100" w:line="280"/>
      </w:pPr>
      <w:r>
        <w:t xml:space="preserve">Section 13, Material Changes, Software Updates, and Emerging Technologies;</w:t>
      </w:r>
    </w:p>
    <w:p>
      <w:pPr>
        <w:pStyle w:val="ListParagraph"/>
        <w:numPr>
          <w:ilvl w:val="0"/>
          <w:numId w:val="4"/>
        </w:numPr>
        <w:spacing w:after="100" w:line="280"/>
      </w:pPr>
      <w:r>
        <w:t xml:space="preserve">Section 14, Logging, Audits, and Public Accountability;</w:t>
      </w:r>
    </w:p>
    <w:p>
      <w:pPr>
        <w:pStyle w:val="ListParagraph"/>
        <w:numPr>
          <w:ilvl w:val="0"/>
          <w:numId w:val="4"/>
        </w:numPr>
        <w:spacing w:after="100" w:line="280"/>
      </w:pPr>
      <w:r>
        <w:t xml:space="preserve">Section 15, Complaints, Redress, and Enforcement;</w:t>
      </w:r>
    </w:p>
    <w:p>
      <w:pPr>
        <w:pStyle w:val="ListParagraph"/>
        <w:numPr>
          <w:ilvl w:val="0"/>
          <w:numId w:val="4"/>
        </w:numPr>
        <w:spacing w:after="100" w:line="280"/>
      </w:pPr>
      <w:r>
        <w:t xml:space="preserve">Section 16, Automatic Suspension;</w:t>
      </w:r>
    </w:p>
    <w:p>
      <w:pPr>
        <w:pStyle w:val="ListParagraph"/>
        <w:numPr>
          <w:ilvl w:val="0"/>
          <w:numId w:val="4"/>
        </w:numPr>
        <w:spacing w:after="100" w:line="280"/>
      </w:pPr>
      <w:r>
        <w:t xml:space="preserve">Sections 18 through 23, Automated License Plate Recognition and Vehicle-Location Systems;</w:t>
      </w:r>
    </w:p>
    <w:p>
      <w:pPr>
        <w:pStyle w:val="ListParagraph"/>
        <w:numPr>
          <w:ilvl w:val="0"/>
          <w:numId w:val="4"/>
        </w:numPr>
        <w:spacing w:after="100" w:line="280"/>
      </w:pPr>
      <w:r>
        <w:t xml:space="preserve">Section 29, Biometric and Video Analytics Technologies;</w:t>
      </w:r>
    </w:p>
    <w:p>
      <w:pPr>
        <w:pStyle w:val="ListParagraph"/>
        <w:numPr>
          <w:ilvl w:val="0"/>
          <w:numId w:val="4"/>
        </w:numPr>
        <w:spacing w:after="100" w:line="280"/>
      </w:pPr>
      <w:r>
        <w:t xml:space="preserve">Sections 30 and 31, Data Fusion and Real-Time Crime Center Systems;</w:t>
      </w:r>
    </w:p>
    <w:p>
      <w:pPr>
        <w:pStyle w:val="ListParagraph"/>
        <w:numPr>
          <w:ilvl w:val="0"/>
          <w:numId w:val="4"/>
        </w:numPr>
        <w:spacing w:after="100" w:line="280"/>
      </w:pPr>
      <w:r>
        <w:t xml:space="preserve">Section 33, Commercially Acquired Surveillance Data;</w:t>
      </w:r>
    </w:p>
    <w:p>
      <w:pPr>
        <w:pStyle w:val="ListParagraph"/>
        <w:numPr>
          <w:ilvl w:val="0"/>
          <w:numId w:val="4"/>
        </w:numPr>
        <w:spacing w:after="100" w:line="280"/>
      </w:pPr>
      <w:r>
        <w:t xml:space="preserve">Section 35, Renewal, Sunset, and Public Inventory; and</w:t>
      </w:r>
    </w:p>
    <w:p>
      <w:pPr>
        <w:pStyle w:val="ListParagraph"/>
        <w:numPr>
          <w:ilvl w:val="0"/>
          <w:numId w:val="4"/>
        </w:numPr>
        <w:spacing w:after="100" w:line="280"/>
      </w:pPr>
      <w:r>
        <w:t xml:space="preserve">Section 36, Existing Contracts, Legacy Systems, and Transition to Compliance.</w:t>
      </w:r>
    </w:p>
    <w:p>
      <w:pPr>
        <w:spacing w:after="200" w:before="120" w:line="288"/>
        <w:jc w:val="both"/>
      </w:pPr>
      <w:r>
        <w:t xml:space="preserve">I respectfully ask Council not to treat the current Policy 428 as the end of the conversation. At minimum, Council should require Bend PD to close the SB 1516 compliance and implementation gaps identified in Part I and adopt the local strengthenings in Part II. More broadly, Bend should adopt a comprehensive surveillance-governance ordinance so these decisions are made publicly, consistently, and before surveillance capabilities are acquired or expanded.</w:t>
      </w:r>
    </w:p>
    <w:p>
      <w:pPr>
        <w:spacing w:after="160" w:line="288"/>
        <w:jc w:val="both"/>
      </w:pPr>
      <w:r>
        <w:t xml:space="preserve">A one-page summary of the requested amendments and a detailed section-by-section comparison of SB 1516 and Policy 428 are attached.</w:t>
      </w:r>
    </w:p>
    <w:p>
      <w:pPr>
        <w:spacing w:after="160" w:line="288"/>
        <w:jc w:val="both"/>
      </w:pPr>
      <w:r>
        <w:t xml:space="preserve">Thank you for your time and consideration. I am happy to answer questions, provide further clarification, or discuss any of the items above at the Council's convenience.</w:t>
      </w:r>
    </w:p>
    <w:p>
      <w:pPr>
        <w:spacing w:after="80" w:before="240"/>
      </w:pPr>
      <w:r>
        <w:t xml:space="preserve">Sincerely,</w:t>
      </w:r>
    </w:p>
    <w:p>
      <w:pPr>
        <w:spacing w:after="40" w:before="240"/>
      </w:pPr>
      <w:r>
        <w:rPr>
          <w:b/>
          <w:bCs/>
        </w:rPr>
        <w:t xml:space="preserve">Jonathan Westmoreland</w:t>
      </w:r>
    </w:p>
    <w:p>
      <w:pPr>
        <w:spacing w:after="40"/>
      </w:pPr>
      <w:r>
        <w:rPr>
          <w:color w:val="555555"/>
        </w:rPr>
        <w:t xml:space="preserve">Bend, Oregon</w:t>
      </w:r>
    </w:p>
    <w:p>
      <w:pPr>
        <w:spacing w:after="40"/>
      </w:pPr>
      <w:r>
        <w:rPr>
          <w:color w:val="555555"/>
        </w:rPr>
        <w:t xml:space="preserve">westmoreland.jonathan@gmail.com</w:t>
      </w:r>
    </w:p>
    <w:p>
      <w:pPr>
        <w:spacing w:after="0"/>
      </w:pPr>
      <w:r>
        <w:rPr>
          <w:color w:val="555555"/>
        </w:rPr>
        <w:t xml:space="preserve">541-480-5385</w:t>
      </w:r>
    </w:p>
    <w:sectPr>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777777"/>
        <w:sz w:val="18"/>
        <w:szCs w:val="18"/>
      </w:rPr>
      <w:t xml:space="preserve">Westmoreland — Comments on Policy 428  |  Page </w:t>
    </w:r>
    <w:r>
      <w:rPr>
        <w:color w:val="777777"/>
        <w:sz w:val="18"/>
        <w:szCs w:val="18"/>
      </w:rPr>
      <w:fldChar w:fldCharType="begin"/>
      <w:instrText xml:space="preserve">PAGE</w:instrText>
      <w:fldChar w:fldCharType="separate"/>
      <w:fldChar w:fldCharType="end"/>
    </w:r>
    <w:r>
      <w:rPr>
        <w:color w:val="777777"/>
        <w:sz w:val="18"/>
        <w:szCs w:val="18"/>
      </w:rPr>
      <w:t xml:space="preserve"> of </w:t>
    </w:r>
    <w:r>
      <w:rPr>
        <w:color w:val="777777"/>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bullet"/>
      <w:lvlText w:val="•"/>
      <w:lvlJc w:val="left"/>
      <w:pPr>
        <w:ind w:left="54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 w:numId="4">
    <w:abstractNumId w:val="4"/>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40" w:before="320"/>
      <w:outlineLvl w:val="0"/>
    </w:pPr>
    <w:rPr>
      <w:rFonts w:ascii="Calibri" w:cs="Calibri" w:eastAsia="Calibri" w:hAnsi="Calibri"/>
      <w:b/>
      <w:bCs/>
      <w:color w:val="1F3A66"/>
      <w:sz w:val="28"/>
      <w:szCs w:val="28"/>
    </w:rPr>
  </w:style>
  <w:style w:type="paragraph" w:styleId="Heading2">
    <w:name w:val="Heading 2"/>
    <w:basedOn w:val="Normal"/>
    <w:next w:val="Normal"/>
    <w:qFormat/>
    <w:pPr>
      <w:spacing w:after="100" w:before="220"/>
      <w:outlineLvl w:val="1"/>
    </w:pPr>
    <w:rPr>
      <w:rFonts w:ascii="Calibri" w:cs="Calibri" w:eastAsia="Calibri" w:hAnsi="Calibri"/>
      <w:b/>
      <w:bCs/>
      <w:color w:val="1F3A66"/>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Comments on Bend Police Department Policy 428 (ALPR)</dc:title>
  <dc:creator>Jonathan Westmoreland</dc:creator>
  <dc:description>Council letter regarding Policy 428 and SB 1516 — revised</dc:description>
  <cp:lastModifiedBy>Un-named</cp:lastModifiedBy>
  <cp:revision>1</cp:revision>
  <dcterms:created xsi:type="dcterms:W3CDTF">2026-05-23T01:45:28.422Z</dcterms:created>
  <dcterms:modified xsi:type="dcterms:W3CDTF">2026-05-23T01:45:28.422Z</dcterms:modified>
</cp:coreProperties>
</file>

<file path=docProps/custom.xml><?xml version="1.0" encoding="utf-8"?>
<Properties xmlns="http://schemas.openxmlformats.org/officeDocument/2006/custom-properties" xmlns:vt="http://schemas.openxmlformats.org/officeDocument/2006/docPropsVTypes"/>
</file>