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left"/>
      </w:pPr>
      <w:r>
        <w:rPr>
          <w:b/>
          <w:bCs/>
          <w:color w:val="1F3A66"/>
          <w:sz w:val="36"/>
          <w:szCs w:val="36"/>
        </w:rPr>
        <w:t xml:space="preserve">Exhibit A — Side-by-Side Comparison</w:t>
      </w:r>
    </w:p>
    <w:p>
      <w:pPr>
        <w:spacing w:after="120"/>
        <w:jc w:val="left"/>
      </w:pPr>
      <w:r>
        <w:rPr>
          <w:color w:val="444444"/>
          <w:sz w:val="22"/>
          <w:szCs w:val="22"/>
        </w:rPr>
        <w:t xml:space="preserve">Oregon SB 1516 (A-Engrossed, 2026) vs. Bend Police Department Policy 428 (May 15, 2026)</w:t>
      </w:r>
    </w:p>
    <w:p>
      <w:pPr>
        <w:spacing w:after="100"/>
      </w:pPr>
      <w:r>
        <w:rPr>
          <w:sz w:val="22"/>
          <w:szCs w:val="22"/>
        </w:rPr>
        <w:t xml:space="preserve">This exhibit maps each substantive requirement of SB 1516 (Sections 3–9, plus the public-records exemption added at ORS 192.345(44)) to the corresponding provision in Bend Police Department Policy 428, identifies areas where Policy 428 falls short of the statute, and notes areas where Policy 428 strengthens local protection beyond the statutory minimum.</w:t>
      </w:r>
    </w:p>
    <w:p>
      <w:pPr>
        <w:spacing w:after="80"/>
      </w:pPr>
      <w:r>
        <w:rPr>
          <w:b/>
          <w:bCs/>
          <w:sz w:val="22"/>
          <w:szCs w:val="22"/>
        </w:rPr>
        <w:t xml:space="preserve">Status legend: </w:t>
      </w:r>
      <w:r>
        <w:rPr>
          <w:b/>
          <w:bCs/>
          <w:color w:val="2E7D32"/>
          <w:sz w:val="22"/>
          <w:szCs w:val="22"/>
        </w:rPr>
        <w:t xml:space="preserve">Met</w:t>
      </w:r>
      <w:r>
        <w:rPr>
          <w:sz w:val="22"/>
          <w:szCs w:val="22"/>
        </w:rPr>
        <w:t xml:space="preserve"> = Policy aligns with statute. </w:t>
      </w:r>
      <w:r>
        <w:rPr>
          <w:b/>
          <w:bCs/>
          <w:color w:val="1B5E20"/>
          <w:sz w:val="22"/>
          <w:szCs w:val="22"/>
        </w:rPr>
        <w:t xml:space="preserve">Exceeds</w:t>
      </w:r>
      <w:r>
        <w:rPr>
          <w:sz w:val="22"/>
          <w:szCs w:val="22"/>
        </w:rPr>
        <w:t xml:space="preserve"> = Policy is stricter than statute (local strengthening). </w:t>
      </w:r>
      <w:r>
        <w:rPr>
          <w:b/>
          <w:bCs/>
          <w:color w:val="B45309"/>
          <w:sz w:val="22"/>
          <w:szCs w:val="22"/>
        </w:rPr>
        <w:t xml:space="preserve">Partial</w:t>
      </w:r>
      <w:r>
        <w:rPr>
          <w:sz w:val="22"/>
          <w:szCs w:val="22"/>
        </w:rPr>
        <w:t xml:space="preserve"> = Some elements present, key elements weak or missing. </w:t>
      </w:r>
      <w:r>
        <w:rPr>
          <w:b/>
          <w:bCs/>
          <w:color w:val="B23A1A"/>
          <w:sz w:val="22"/>
          <w:szCs w:val="22"/>
        </w:rPr>
        <w:t xml:space="preserve">Missing</w:t>
      </w:r>
      <w:r>
        <w:rPr>
          <w:sz w:val="22"/>
          <w:szCs w:val="22"/>
        </w:rPr>
        <w:t xml:space="preserve"> = Statutory requirement is not implemented in policy.</w:t>
      </w:r>
    </w:p>
    <w:p>
      <w:pPr>
        <w:spacing w:after="220"/>
      </w:pPr>
      <w:r>
        <w:rPr>
          <w:i/>
          <w:iCs/>
          <w:color w:val="555555"/>
          <w:sz w:val="20"/>
          <w:szCs w:val="20"/>
        </w:rPr>
        <w:t xml:space="preserve">Sources: Oregon SB 1516 (A-Engrossed), 83rd Legislative Assembly, 2026 Regular Session; Bend Police Department Policy 428, Automated License Plate Readers (ALPR), copyright Lexipol, LLC 2026/05/15. Prepared by Jonathan Westmoreland, Bend, Oregon.</w:t>
      </w:r>
    </w:p>
    <w:tbl>
      <w:tblPr>
        <w:tblW w:type="dxa" w:w="12960"/>
        <w:tblBorders>
          <w:top w:val="single" w:color="auto" w:sz="4"/>
          <w:left w:val="single" w:color="auto" w:sz="4"/>
          <w:bottom w:val="single" w:color="auto" w:sz="4"/>
          <w:right w:val="single" w:color="auto" w:sz="4"/>
          <w:insideH w:val="single" w:color="auto" w:sz="4"/>
          <w:insideV w:val="single" w:color="auto" w:sz="4"/>
        </w:tblBorders>
      </w:tblPr>
      <w:tblGrid>
        <w:gridCol w:w="1700"/>
        <w:gridCol w:w="2700"/>
        <w:gridCol w:w="3700"/>
        <w:gridCol w:w="3700"/>
        <w:gridCol w:w="1160"/>
      </w:tblGrid>
      <w:tr>
        <w:trPr>
          <w:tblHeader/>
        </w:trPr>
        <w:tc>
          <w:tcPr>
            <w:tcW w:type="dxa" w:w="170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SB 1516 §</w:t>
            </w:r>
          </w:p>
        </w:tc>
        <w:tc>
          <w:tcPr>
            <w:tcW w:type="dxa" w:w="270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Requirement (statute)</w:t>
            </w:r>
          </w:p>
        </w:tc>
        <w:tc>
          <w:tcPr>
            <w:tcW w:type="dxa" w:w="370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Policy 428 § / Text</w:t>
            </w:r>
          </w:p>
        </w:tc>
        <w:tc>
          <w:tcPr>
            <w:tcW w:type="dxa" w:w="370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Analysis</w:t>
            </w:r>
          </w:p>
        </w:tc>
        <w:tc>
          <w:tcPr>
            <w:tcW w:type="dxa" w:w="116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Status</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3 — Definitions</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§3(1)–(8)</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Defines eight key terms: alert, authorized user, ALPR system, captured license plate data, hot list, law enforcement agency, law enforcement purpose, secured area.</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No definitions section in Policy 428.</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Policy uses many of these terms without defining them. Without definitions, terms like “law enforcement purpose” and “secured area” are left to interpretation, which weakens enforceability of the policy’s own limits.</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4 — Authorized Uses &amp; Operational Requirements</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§4(1)</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Default prohibition: agencies may not use ALPRs except as authorized in §§3–9.</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428.4 limits ALPR use to “authorized purposes set forth in this policy.”</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Functionally aligned. Policy operates as an enumerated-purposes scheme.</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§4(2)(a)</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Identifying vehicles used to facilitate or avoid apprehension for crimes (state/equivalent out-of-state/federal-with-conditions).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428.3 — Criminal Investigations subsection mirrors the statute’s three-tier structure, including the federal-crime caveat.</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§4(2)(b)</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Vehicles facilitating ORS 153.008 violations, excluding ORS 801.557 traffic violations.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428.3 — Violations (Non-Traffic) subsection; same exclusion.</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§4(2)(c)</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Vehicles registered to persons with outstanding criminal arrest warrants (state/equivalent/federal-with-conditions).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428.3 — Outstanding Criminal Warrants subsection.</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§4(2)(d)</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Missing or endangered persons (Amber Alert / Silver Alert).</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428.1, 428.3 — Missing or Endangered Persons subsection.</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§4(2)(e)–(h)</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Permits administrative uses: uninsured vehicles (ORS 742.504), unregistered vehicles, regulating the use of parking facilities, controlled access to secured areas.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428.3 — Administrative and Public Safety Uses subsection adopts all four, BUT phrases the parking use as “parking regulation and the management of parking facilities” (broader than the statute).</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Two issues. (1) All four uses are permitted by statute but NOT required — SB 1516 leaves these as a local choice. Policy 428 takes the maximal interpretation. (2) Policy 428 expands the parking use beyond §4(2)(g). SB 1516 authorizes only “regulating the use of parking facilities” (one bounded purpose). Policy 428.3 adds the standalone phrase “parking regulation” joined by “and,” creating a second, non-facility-bounded authorization. See Part I, Item F of the letter.</w:t>
            </w:r>
          </w:p>
        </w:tc>
        <w:tc>
          <w:tcPr>
            <w:tcW w:type="dxa" w:w="1160"/>
            <w:tcBorders>
              <w:top w:val="single" w:color="BFBFBF" w:sz="4"/>
              <w:left w:val="single" w:color="BFBFBF" w:sz="4"/>
              <w:bottom w:val="single" w:color="BFBFBF" w:sz="4"/>
              <w:right w:val="single" w:color="BFBFBF" w:sz="4"/>
            </w:tcBorders>
            <w:shd w:fill="FFF2CC" w:val="clear"/>
            <w:tcMar>
              <w:top w:type="dxa" w:w="100"/>
              <w:left w:type="dxa" w:w="140"/>
              <w:bottom w:type="dxa" w:w="100"/>
              <w:right w:type="dxa" w:w="140"/>
            </w:tcMar>
            <w:vAlign w:val="top"/>
          </w:tcPr>
          <w:p>
            <w:pPr>
              <w:spacing w:after="60"/>
            </w:pPr>
            <w:r>
              <w:rPr>
                <w:b/>
                <w:bCs/>
              </w:rPr>
              <w:t xml:space="preserve">Partial</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 — Traffic Enforcement</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Statute excludes traffic violations as defined in ORS 801.557.</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428.3 — Traffic Enforcement Limitation: “ALPR technology shall not be used solely to identify vehicles for the enforcement of traffic violations…”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§4(3)(a)</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30-day max retention for captured data not tied to a court proceeding/ongoing investigation.</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428.2 — same 30-day cap.</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 Note: 30 days is a ceiling, not a floor — local policy may adopt shorter retention.</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§4(3)(b)</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Investigation/court-proceeding data retained per evidence retention rules.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428.2 — mirrors this exception.</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§4(4)(a)</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Permitted comparison databases: ODOT, NCIC, LEDS (or out-of-state equivalent), FBI kidnapping/missing-persons records, ORS 181A.300 clearinghouse, and law-enforcement hot lists.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428.3 — lists ODOT, LEDS-accessible LE databases, NCIC, LE-maintained hot lists, and other LE-agency hot lists.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Policy’s list mirrors the statute’s permitted-source list.</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§4(4)(b)</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External LEDS-equivalent systems and other-agency hot lists may be used only if updated frequently enough to be accurate, relevant, timely, complete.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428.3(e) — uses identical “accuracy, relevance, timeliness, completeness” language.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§4(4)(c)</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Hot-list entries must include: specific LE purpose; name of officer adding the entry; if added on behalf of another LE employee, that employee’s name.</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428.5 — adds these elements plus case number, reasonable-suspicion/probable-cause statement, and an 8-day expiration cap.</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Policy 428 is stricter than the statute here. The 8-day cap and supervisor re-approval are local strengthenings.</w:t>
            </w:r>
          </w:p>
        </w:tc>
        <w:tc>
          <w:tcPr>
            <w:tcW w:type="dxa" w:w="1160"/>
            <w:tcBorders>
              <w:top w:val="single" w:color="BFBFBF" w:sz="4"/>
              <w:left w:val="single" w:color="BFBFBF" w:sz="4"/>
              <w:bottom w:val="single" w:color="BFBFBF" w:sz="4"/>
              <w:right w:val="single" w:color="BFBFBF" w:sz="4"/>
            </w:tcBorders>
            <w:shd w:fill="B7D7B7" w:val="clear"/>
            <w:tcMar>
              <w:top w:type="dxa" w:w="100"/>
              <w:left w:type="dxa" w:w="140"/>
              <w:bottom w:type="dxa" w:w="100"/>
              <w:right w:type="dxa" w:w="140"/>
            </w:tcMar>
            <w:vAlign w:val="top"/>
          </w:tcPr>
          <w:p>
            <w:pPr>
              <w:spacing w:after="60"/>
            </w:pPr>
            <w:r>
              <w:rPr>
                <w:b/>
                <w:bCs/>
              </w:rPr>
              <w:t xml:space="preserve">Exceeds</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§4(5)</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Search-log fields: authorized user ID; employing agency; search inputs; date/time; case/reference number; LE purpose; specific crime/violation type if investigative.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428.6.2 — captures all seven plus an eighth field (whether the search was on behalf of another government entity).</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Policy slightly exceeds the statute’s minimum search-log fields.</w:t>
            </w:r>
          </w:p>
        </w:tc>
        <w:tc>
          <w:tcPr>
            <w:tcW w:type="dxa" w:w="1160"/>
            <w:tcBorders>
              <w:top w:val="single" w:color="BFBFBF" w:sz="4"/>
              <w:left w:val="single" w:color="BFBFBF" w:sz="4"/>
              <w:bottom w:val="single" w:color="BFBFBF" w:sz="4"/>
              <w:right w:val="single" w:color="BFBFBF" w:sz="4"/>
            </w:tcBorders>
            <w:shd w:fill="B7D7B7" w:val="clear"/>
            <w:tcMar>
              <w:top w:type="dxa" w:w="100"/>
              <w:left w:type="dxa" w:w="140"/>
              <w:bottom w:type="dxa" w:w="100"/>
              <w:right w:type="dxa" w:w="140"/>
            </w:tcMar>
            <w:vAlign w:val="top"/>
          </w:tcPr>
          <w:p>
            <w:pPr>
              <w:spacing w:after="60"/>
            </w:pPr>
            <w:r>
              <w:rPr>
                <w:b/>
                <w:bCs/>
              </w:rPr>
              <w:t xml:space="preserve">Exceeds</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§4(6)</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Visual confirmation of plate, issuing state, and vehicle characteristics before initiating a traffic stop based on an alert.</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428.5 — “Before initiating a traffic stop or enforcement action based on an ALPR alert, an officer … shall visually confirm…”</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§4(7)</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Agency may request access to ALPR data collected by private/non-LE entities for an LE purpose.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428.6 — “The Department may request access to ALPR data collected by private entities or non–law enforcement organizations…”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Mirrors the statute. The statute permits this but does not require a warrant or court order. Council email Item 4 asks Bend to add a warrant/court-order standard, which the statute neither requires nor forbids — i.e., a permissible local strengthening.</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5 — Data-Sharing Limitations (Outside-Agency)</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§5(1)</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An agency may allow queries of its captured data by another LE agency.</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 — “ALPR data may be shared with authorized and verified law enforcement officials or agencies in compliance with applicable law and this policy.”</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§5(2)(a)</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DEFAULT PROHIBITION: an agency may not provide access to captured data to any government entity or agency not created pursuant to the Oregon Constitution or Oregon law/regulations, except per §5(2)(b).</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Policy 428 contains no analogous default-prohibition clause restricting access by non-Oregon-created agencies.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Significant compliance gap. Policy authorizes sharing with “authorized and verified law enforcement officials or agencies” generally and does not codify the §5(2)(a) presumptive prohibition. Bend should add explicit language.</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§5(2)(b)</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When sharing with a non-Oregon-created entity for an LE purpose, data must be limited to data relevant to the LE purpose; no unrestricted or ongoing access; search log must include §4(5) fields plus the requesting agency and the number of cameras/devices accessed.</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Policy 428 does not include the “limited to data relevant” or “no unrestricted or ongoing access” qualifiers. 428.6.1 quarterly audit includes the cameras-accessed field for outside-agency searches; 428.6.2 search log does not.</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Compliance gap. Two distinct issues: (a) substantive limits on what data is provided are missing from policy; (b) the cameras-accessed field is required at the live search-log level by the statute, but Bend only captures it in quarterly audits.</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§5(3)</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Section does not prohibit access required by judicial subpoena or other compulsory court-issued legal process.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Not explicitly addressed in 428, though general references to discovery and legal-process compliance appear in 428.2 and 428.6.1.</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Acceptable. Statutory carve-out applies regardless; policy silence is not a compliance defect.</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6 — Vendor-Provided Audits</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§6(1)(a)–(h)</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Monthly vendor audit must include: systems installed; locations of fixed systems; total searches; list of LE agencies with access; authorized-user count; unique vehicles captured; alerts generated; cameras/devices accessed by the agency.</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428.6.1 — Monthly Audits subsection includes all of (a)–(i): systems installed, locations, search counts, authorized-user count, agency count and list, unique vehicles, alerts, and cameras/devices.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§6(1)(i)</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Monthly audit must also include, for any search: (A) authorized user ID; (B) date/time of search; (C) LE purpose entered.</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428.6.1 Monthly Audits subsection does NOT list these per-search fields. Policy says “detailed search-level information shall be retained within system search logs.” The quarterly audit (for outside-agency searches) does include these.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Compliance gap. The statute requires per-search detail in the MONTHLY vendor audit for ALL searches, not just outside-agency searches. Policy 428 reads as if this is satisfied by internal logs, which is not what §6(1)(i) requires.</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§6(2)</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Quarterly vendor audit must include, for outside-agency searches, six listed fields including cameras/devices accessed.</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428.6.1 — Quarterly Audits subsection captures all six.</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§6(3)</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Agency must publish audit results on its website within 2 days, or require vendor to provide direct public access within 2 days. Disclosures must comply with ORS 192.345(44)(a).</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428.6.1 — Public Access to Audit Results subsection adopts the 2-business-day window and ORS 192.345(44)(a) reference.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7 — Policies &amp; Procedures</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§7(1)</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Before deploying ALPRs, agency must establish and publish policies/procedures consistent with §§3–9.</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Policy 428 itself satisfies this.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Met by Policy 428’s existence.</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§7(2)(a)</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Security of system and data, including access rules.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428.2, 428.6 — addresses access controls, individual authentication, logging.</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§7(2)(b)</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Hot-list information must be accurate, relevant, timely, complete.</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428.5 — “All hot list entries shall be reviewed for accuracy, relevance, and timeliness.”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 (note: policy omits “complete” but the substance is captured).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§7(2)(c)</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Training requirements for authorized users.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428.4 — “No member of the Department shall operate ALPR equipment or access ALPR data without first completing Department-approved training.”</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§7(2)(d)</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Retention and destruction requirements.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428.2 — retention rules and 30-day deletion.</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§7(2)(e)(A)</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Vendor contracts: data is property of LE agency, not vendor.</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428.7 — “All captured license plate data … is the sole property of the Bend Police Department and shall not be owned by, used by, or licensed to the vendor…”</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§7(2)(e)(B)</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Any request received by vendor — including judicial warrant, judicial subpoena, or administrative subpoena — must be directed exclusively to the agency.</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428.7 — “all requests for captured license plate data received by the vendor be directed exclusively to the Department and that the vendor take no independent action…”</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 though policy does not enumerate “warrant, judicial subpoena, administrative subpoena” as the statute does. Minor clarity gap.</w:t>
            </w:r>
          </w:p>
        </w:tc>
        <w:tc>
          <w:tcPr>
            <w:tcW w:type="dxa" w:w="1160"/>
            <w:tcBorders>
              <w:top w:val="single" w:color="BFBFBF" w:sz="4"/>
              <w:left w:val="single" w:color="BFBFBF" w:sz="4"/>
              <w:bottom w:val="single" w:color="BFBFBF" w:sz="4"/>
              <w:right w:val="single" w:color="BFBFBF" w:sz="4"/>
            </w:tcBorders>
            <w:shd w:fill="FFF2CC" w:val="clear"/>
            <w:tcMar>
              <w:top w:type="dxa" w:w="100"/>
              <w:left w:type="dxa" w:w="140"/>
              <w:bottom w:type="dxa" w:w="100"/>
              <w:right w:type="dxa" w:w="140"/>
            </w:tcMar>
            <w:vAlign w:val="top"/>
          </w:tcPr>
          <w:p>
            <w:pPr>
              <w:spacing w:after="60"/>
            </w:pPr>
            <w:r>
              <w:rPr>
                <w:b/>
                <w:bCs/>
              </w:rPr>
              <w:t xml:space="preserve">Partial</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§7(2)(e)(C)</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End-to-end encryption at minimum.</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428.7 — “end-to-end encryption of captured license plate data.”</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 NOTE: statute does not address key control; council email Item 7 is a permissible local strengthening.</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§7(2)(e)(D)</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Vendor must comply with current FBI CJIS Security Policy, INCLUDING execution of the CJIS Security Addendum, audit rights, and prompt notification of security incidents.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428.7 mentions CJIS compliance and audit rights but omits BOTH the CJIS Security Addendum execution requirement and the security-incident notification requirement.</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Compliance gap. The statute’s “including” clause sets specific, non-optional requirements that Policy 428 currently does not reflect.</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§7(2)(e)(E)</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Vendor may be held liable for misuse or improper release, INCLUDING damages.</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428.7 — “Any misuse, unauthorized access, or improper release of ALPR data by a vendor may subject the vendor to contractual remedies and other relief as provided by law.”</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Soft gap. Policy language is weaker than the statute’s explicit reference to damages liability. Should be conformed to statute.</w:t>
            </w:r>
          </w:p>
        </w:tc>
        <w:tc>
          <w:tcPr>
            <w:tcW w:type="dxa" w:w="1160"/>
            <w:tcBorders>
              <w:top w:val="single" w:color="BFBFBF" w:sz="4"/>
              <w:left w:val="single" w:color="BFBFBF" w:sz="4"/>
              <w:bottom w:val="single" w:color="BFBFBF" w:sz="4"/>
              <w:right w:val="single" w:color="BFBFBF" w:sz="4"/>
            </w:tcBorders>
            <w:shd w:fill="FFF2CC" w:val="clear"/>
            <w:tcMar>
              <w:top w:type="dxa" w:w="100"/>
              <w:left w:type="dxa" w:w="140"/>
              <w:bottom w:type="dxa" w:w="100"/>
              <w:right w:type="dxa" w:w="140"/>
            </w:tcMar>
            <w:vAlign w:val="top"/>
          </w:tcPr>
          <w:p>
            <w:pPr>
              <w:spacing w:after="60"/>
            </w:pPr>
            <w:r>
              <w:rPr>
                <w:b/>
                <w:bCs/>
              </w:rPr>
              <w:t xml:space="preserve">Partial</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§7(2)(f)</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Policy must include requirements for §6 audit processes.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428.6.1 — audit subsection.</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Partial because §6(1)(i) per-search fields in the monthly audit are missing (see §6(1)(i) row).</w:t>
            </w:r>
          </w:p>
        </w:tc>
        <w:tc>
          <w:tcPr>
            <w:tcW w:type="dxa" w:w="1160"/>
            <w:tcBorders>
              <w:top w:val="single" w:color="BFBFBF" w:sz="4"/>
              <w:left w:val="single" w:color="BFBFBF" w:sz="4"/>
              <w:bottom w:val="single" w:color="BFBFBF" w:sz="4"/>
              <w:right w:val="single" w:color="BFBFBF" w:sz="4"/>
            </w:tcBorders>
            <w:shd w:fill="FFF2CC" w:val="clear"/>
            <w:tcMar>
              <w:top w:type="dxa" w:w="100"/>
              <w:left w:type="dxa" w:w="140"/>
              <w:bottom w:type="dxa" w:w="100"/>
              <w:right w:type="dxa" w:w="140"/>
            </w:tcMar>
            <w:vAlign w:val="top"/>
          </w:tcPr>
          <w:p>
            <w:pPr>
              <w:spacing w:after="60"/>
            </w:pPr>
            <w:r>
              <w:rPr>
                <w:b/>
                <w:bCs/>
              </w:rPr>
              <w:t xml:space="preserve">Partial</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§7(2)(g)</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Prohibition on use of captured data for any purpose not in accordance with §§3–9.</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428.6.3 — Prohibited Use subsection (includes general prohibition plus locally-added prohibitions on immigration, abortion, First Amendment, and protected-characteristic targeting).</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 and locally strengthened.</w:t>
            </w:r>
          </w:p>
        </w:tc>
        <w:tc>
          <w:tcPr>
            <w:tcW w:type="dxa" w:w="1160"/>
            <w:tcBorders>
              <w:top w:val="single" w:color="BFBFBF" w:sz="4"/>
              <w:left w:val="single" w:color="BFBFBF" w:sz="4"/>
              <w:bottom w:val="single" w:color="BFBFBF" w:sz="4"/>
              <w:right w:val="single" w:color="BFBFBF" w:sz="4"/>
            </w:tcBorders>
            <w:shd w:fill="B7D7B7" w:val="clear"/>
            <w:tcMar>
              <w:top w:type="dxa" w:w="100"/>
              <w:left w:type="dxa" w:w="140"/>
              <w:bottom w:type="dxa" w:w="100"/>
              <w:right w:type="dxa" w:w="140"/>
            </w:tcMar>
            <w:vAlign w:val="top"/>
          </w:tcPr>
          <w:p>
            <w:pPr>
              <w:spacing w:after="60"/>
            </w:pPr>
            <w:r>
              <w:rPr>
                <w:b/>
                <w:bCs/>
              </w:rPr>
              <w:t xml:space="preserve">Exceeds</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8 — Existing Contracts</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§8(1)</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Existing contracts may continue until expiration; may not be extended/renewed unless brought into §§3–9 compliance.</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428.7 — “Any ALPR vendor contracts in effect prior March 31, 2026, may remain in force until their scheduled expiration. No existing ALPR contract shall be renewed, extended, or materially amended unless it is fully compliant with applicable state law and this policy…”</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§8(2)</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Notwithstanding §8(1), §4 (authorized uses) applies regardless of contract date.</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428.7 says all operational, use, access, retention, auditing, training, and data-sharing requirements apply immediately after March 31, 2026. Does not specifically cite §4 as the unconditional minimum.</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Soft gap. Policy effectively accomplishes the same result through the broader “shall apply immediately” language. Could be clarified.</w:t>
            </w:r>
          </w:p>
        </w:tc>
        <w:tc>
          <w:tcPr>
            <w:tcW w:type="dxa" w:w="1160"/>
            <w:tcBorders>
              <w:top w:val="single" w:color="BFBFBF" w:sz="4"/>
              <w:left w:val="single" w:color="BFBFBF" w:sz="4"/>
              <w:bottom w:val="single" w:color="BFBFBF" w:sz="4"/>
              <w:right w:val="single" w:color="BFBFBF" w:sz="4"/>
            </w:tcBorders>
            <w:shd w:fill="FFF2CC" w:val="clear"/>
            <w:tcMar>
              <w:top w:type="dxa" w:w="100"/>
              <w:left w:type="dxa" w:w="140"/>
              <w:bottom w:type="dxa" w:w="100"/>
              <w:right w:type="dxa" w:w="140"/>
            </w:tcMar>
            <w:vAlign w:val="top"/>
          </w:tcPr>
          <w:p>
            <w:pPr>
              <w:spacing w:after="60"/>
            </w:pPr>
            <w:r>
              <w:rPr>
                <w:b/>
                <w:bCs/>
              </w:rPr>
              <w:t xml:space="preserve">Partial</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Section 9 — Vendor Liability &amp; Private Right of Action</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§9(1)(a)</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Vendor may not access, disclose, sell, share, or otherwise use captured data.</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428.7 — “ALPR vendors shall not access, use, sell, share, license, or otherwise disseminate captured license plate data, except as expressly authorized…”</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§9(1)(b)</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Exceptions: limited tech-support access with express consent; providing §6 audit info.</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428.7 — vendor access “strictly limited to narrowly defined purposes such as providing technical support, system maintenance, or compliance audit information… only with prior Department approval, time-limited, and subject to appropriate logging, oversight, and audit.”</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Substantively aligned and slightly stricter (express logging/oversight).</w:t>
            </w:r>
          </w:p>
        </w:tc>
        <w:tc>
          <w:tcPr>
            <w:tcW w:type="dxa" w:w="1160"/>
            <w:tcBorders>
              <w:top w:val="single" w:color="BFBFBF" w:sz="4"/>
              <w:left w:val="single" w:color="BFBFBF" w:sz="4"/>
              <w:bottom w:val="single" w:color="BFBFBF" w:sz="4"/>
              <w:right w:val="single" w:color="BFBFBF" w:sz="4"/>
            </w:tcBorders>
            <w:shd w:fill="B7D7B7" w:val="clear"/>
            <w:tcMar>
              <w:top w:type="dxa" w:w="100"/>
              <w:left w:type="dxa" w:w="140"/>
              <w:bottom w:type="dxa" w:w="100"/>
              <w:right w:type="dxa" w:w="140"/>
            </w:tcMar>
            <w:vAlign w:val="top"/>
          </w:tcPr>
          <w:p>
            <w:pPr>
              <w:spacing w:after="60"/>
            </w:pPr>
            <w:r>
              <w:rPr>
                <w:b/>
                <w:bCs/>
              </w:rPr>
              <w:t xml:space="preserve">Exceeds</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§9(2)</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Private right of action by an individual against a vendor for intentional/grossly negligent violations; damages and equitable relief; attorney fees may be awarded.</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Not referenced in Policy 428.</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Arguably outside core policy scope (it is a statutory cause of action), but policy should reference the existence of this remedy so members and the public know it exists.</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cantSplit/>
        </w:trPr>
        <w:tc>
          <w:tcPr>
            <w:tcW w:type="dxa" w:w="1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§9(3)</w:t>
            </w:r>
          </w:p>
        </w:tc>
        <w:tc>
          <w:tcPr>
            <w:tcW w:type="dxa" w:w="2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Any person may bring a civil action to enjoin a §9(1)(a) violation.</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Not referenced.</w:t>
            </w:r>
          </w:p>
        </w:tc>
        <w:tc>
          <w:tcPr>
            <w:tcW w:type="dxa" w:w="3700"/>
            <w:tcBorders>
              <w:top w:val="single" w:color="BFBFBF" w:sz="4"/>
              <w:left w:val="single" w:color="BFBFBF" w:sz="4"/>
              <w:bottom w:val="single" w:color="BFBFBF" w:sz="4"/>
              <w:right w:val="single" w:color="BFBFBF" w:sz="4"/>
            </w:tcBorders>
            <w:shd w:fill="F2F2F2" w:val="clear"/>
            <w:tcMar>
              <w:top w:type="dxa" w:w="100"/>
              <w:left w:type="dxa" w:w="140"/>
              <w:bottom w:type="dxa" w:w="100"/>
              <w:right w:type="dxa" w:w="140"/>
            </w:tcMar>
            <w:vAlign w:val="top"/>
          </w:tcPr>
          <w:p>
            <w:pPr>
              <w:spacing w:after="60"/>
            </w:pPr>
            <w:r>
              <w:t xml:space="preserve">Same as above.</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§9(4)</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Causes of action under §9 are exclusive remedies for §9(1)(a) violations.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Not referenced.</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Same as above.</w:t>
            </w:r>
          </w:p>
        </w:tc>
        <w:tc>
          <w:tcPr>
            <w:tcW w:type="dxa" w:w="1160"/>
            <w:tcBorders>
              <w:top w:val="single" w:color="BFBFBF" w:sz="4"/>
              <w:left w:val="single" w:color="BFBFBF" w:sz="4"/>
              <w:bottom w:val="single" w:color="BFBFBF" w:sz="4"/>
              <w:right w:val="single" w:color="BFBFBF" w:sz="4"/>
            </w:tcBorders>
            <w:shd w:fill="F8CBAD" w:val="clear"/>
            <w:tcMar>
              <w:top w:type="dxa" w:w="100"/>
              <w:left w:type="dxa" w:w="140"/>
              <w:bottom w:type="dxa" w:w="100"/>
              <w:right w:type="dxa" w:w="140"/>
            </w:tcMar>
            <w:vAlign w:val="top"/>
          </w:tcPr>
          <w:p>
            <w:pPr>
              <w:spacing w:after="60"/>
            </w:pPr>
            <w:r>
              <w:rPr>
                <w:b/>
                <w:bCs/>
              </w:rPr>
              <w:t xml:space="preserve">Missing</w:t>
            </w:r>
          </w:p>
        </w:tc>
      </w:tr>
      <w:tr>
        <w:trPr>
          <w:tblHeader w:val="false"/>
        </w:trPr>
        <w:tc>
          <w:tcPr>
            <w:tcW w:type="dxa" w:w="12960"/>
            <w:gridSpan w:val="5"/>
            <w:tcBorders>
              <w:top w:val="single" w:color="BFBFBF" w:sz="4"/>
              <w:left w:val="single" w:color="BFBFBF" w:sz="4"/>
              <w:bottom w:val="single" w:color="BFBFBF" w:sz="4"/>
              <w:right w:val="single" w:color="BFBFBF" w:sz="4"/>
            </w:tcBorders>
            <w:shd w:fill="EAF1FB" w:val="clear"/>
            <w:tcMar>
              <w:top w:type="dxa" w:w="120"/>
              <w:left w:type="dxa" w:w="140"/>
              <w:bottom w:type="dxa" w:w="120"/>
              <w:right w:type="dxa" w:w="140"/>
            </w:tcMar>
          </w:tcPr>
          <w:p>
            <w:pPr>
              <w:spacing w:after="60"/>
            </w:pPr>
            <w:r>
              <w:rPr>
                <w:b/>
                <w:bCs/>
                <w:color w:val="1F3A66"/>
                <w:sz w:val="24"/>
                <w:szCs w:val="24"/>
              </w:rPr>
              <w:t xml:space="preserve">ORS 192.345(44) — Public Records Exemption (added by SB 1516 §11)</w:t>
            </w:r>
          </w:p>
        </w:tc>
      </w:tr>
      <w:tr>
        <w:trPr>
          <w:cantSplit/>
        </w:trPr>
        <w:tc>
          <w:tcPr>
            <w:tcW w:type="dxa" w:w="1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§11 / ORS 192.345(44)</w:t>
            </w:r>
          </w:p>
        </w:tc>
        <w:tc>
          <w:tcPr>
            <w:tcW w:type="dxa" w:w="2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Captured plate data is exempt from disclosure unless public interest requires otherwise; audit contents are disclosable with PII redacted; conditional-disclosure requirements include date/time approximation, face redaction, and protection of sealed records.</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428.6.1 — Public Access to Audit Results subsection: incorporates ORS 192.345(44)(a) and adopts the “reasonably tailored” + PII-redaction language.</w:t>
            </w:r>
          </w:p>
        </w:tc>
        <w:tc>
          <w:tcPr>
            <w:tcW w:type="dxa" w:w="37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Substantively aligned.</w:t>
            </w:r>
          </w:p>
        </w:tc>
        <w:tc>
          <w:tcPr>
            <w:tcW w:type="dxa" w:w="1160"/>
            <w:tcBorders>
              <w:top w:val="single" w:color="BFBFBF" w:sz="4"/>
              <w:left w:val="single" w:color="BFBFBF" w:sz="4"/>
              <w:bottom w:val="single" w:color="BFBFBF" w:sz="4"/>
              <w:right w:val="single" w:color="BFBFBF" w:sz="4"/>
            </w:tcBorders>
            <w:shd w:fill="C8E6C9" w:val="clear"/>
            <w:tcMar>
              <w:top w:type="dxa" w:w="100"/>
              <w:left w:type="dxa" w:w="140"/>
              <w:bottom w:type="dxa" w:w="100"/>
              <w:right w:type="dxa" w:w="140"/>
            </w:tcMar>
            <w:vAlign w:val="top"/>
          </w:tcPr>
          <w:p>
            <w:pPr>
              <w:spacing w:after="60"/>
            </w:pPr>
            <w:r>
              <w:rPr>
                <w:b/>
                <w:bCs/>
              </w:rPr>
              <w:t xml:space="preserve">Met</w:t>
            </w:r>
          </w:p>
        </w:tc>
      </w:tr>
    </w:tbl>
    <w:p>
      <w:pPr>
        <w:spacing w:after="120" w:before="240"/>
      </w:pPr>
      <w:r>
        <w:rPr>
          <w:b/>
          <w:bCs/>
          <w:color w:val="1F3A66"/>
          <w:sz w:val="26"/>
          <w:szCs w:val="26"/>
        </w:rPr>
        <w:t xml:space="preserve">Local Strengthenings — Where Policy 428 Already Goes Beyond SB 1516</w:t>
      </w:r>
    </w:p>
    <w:p>
      <w:pPr>
        <w:spacing w:after="120"/>
      </w:pPr>
      <w:r>
        <w:rPr>
          <w:sz w:val="22"/>
          <w:szCs w:val="22"/>
        </w:rPr>
        <w:t xml:space="preserve">The table below identifies provisions of Policy 428 that exceed the minimum requirements of SB 1516. These should be preserved as Council considers further amendments.</w:t>
      </w:r>
    </w:p>
    <w:tbl>
      <w:tblPr>
        <w:tblW w:type="dxa" w:w="12960"/>
        <w:tblBorders>
          <w:top w:val="single" w:color="auto" w:sz="4"/>
          <w:left w:val="single" w:color="auto" w:sz="4"/>
          <w:bottom w:val="single" w:color="auto" w:sz="4"/>
          <w:right w:val="single" w:color="auto" w:sz="4"/>
          <w:insideH w:val="single" w:color="auto" w:sz="4"/>
          <w:insideV w:val="single" w:color="auto" w:sz="4"/>
        </w:tblBorders>
      </w:tblPr>
      <w:tblGrid>
        <w:gridCol w:w="3000"/>
        <w:gridCol w:w="2300"/>
        <w:gridCol w:w="7660"/>
      </w:tblGrid>
      <w:tr>
        <w:trPr>
          <w:tblHeader/>
        </w:trPr>
        <w:tc>
          <w:tcPr>
            <w:tcW w:type="dxa" w:w="300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Topic</w:t>
            </w:r>
          </w:p>
        </w:tc>
        <w:tc>
          <w:tcPr>
            <w:tcW w:type="dxa" w:w="230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Policy 428 §</w:t>
            </w:r>
          </w:p>
        </w:tc>
        <w:tc>
          <w:tcPr>
            <w:tcW w:type="dxa" w:w="7660"/>
            <w:tcBorders>
              <w:top w:val="single" w:color="BFBFBF" w:sz="4"/>
              <w:left w:val="single" w:color="BFBFBF" w:sz="4"/>
              <w:bottom w:val="single" w:color="BFBFBF" w:sz="4"/>
              <w:right w:val="single" w:color="BFBFBF" w:sz="4"/>
            </w:tcBorders>
            <w:shd w:fill="1F3A66" w:val="clear"/>
            <w:tcMar>
              <w:top w:type="dxa" w:w="100"/>
              <w:left w:type="dxa" w:w="140"/>
              <w:bottom w:type="dxa" w:w="100"/>
              <w:right w:type="dxa" w:w="140"/>
            </w:tcMar>
            <w:vAlign w:val="top"/>
          </w:tcPr>
          <w:p>
            <w:pPr>
              <w:spacing w:after="60"/>
            </w:pPr>
            <w:r>
              <w:rPr>
                <w:b/>
                <w:bCs/>
                <w:color w:val="FFFFFF"/>
              </w:rPr>
              <w:t xml:space="preserve">Local Strengthening Beyond SB 1516</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Hot-list expiration</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428.5</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Statutory minimum is silent on duration. Policy caps hot-list entries at 8 days with supervisor re-approval required for re-entry.</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First Amendment</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428.6.3</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Statute is silent. Policy expressly prohibits ALPR use to monitor First-Amendment-protected activities.</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Abortion-related investigations</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428.6.3</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Statute is silent. Policy expressly prohibits use for out-of-state abortion-related investigations or prosecutions, except as required by Oregon law or a valid court order.</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Protected-characteristic targeting</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428.6.3</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Statute is silent. Policy enumerates and prohibits protected-characteristic targeting (race, national origin, religion, sex, gender identity, sexual orientation, marital status, age, disability, military/veteran status, genetic information, political affiliation/beliefs).</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Immigration enforcement (explicit)</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428.6.3</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Statute restricts federal-crime ALPR use through ORS 181A.820 cross-references. Policy explicitly prohibits sharing with ICE/CBP for civil immigration enforcement under any circumstances.</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Vendor tech-support guardrails</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428.7</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Statute permits tech-support access with express consent. Policy adds: time-limited, prior Department approval, and required logging/oversight/audit.</w:t>
            </w:r>
          </w:p>
        </w:tc>
      </w:tr>
      <w:tr>
        <w:trPr>
          <w:cantSplit/>
        </w:trPr>
        <w:tc>
          <w:tcPr>
            <w:tcW w:type="dxa" w:w="30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Extra search-log field</w:t>
            </w:r>
          </w:p>
        </w:tc>
        <w:tc>
          <w:tcPr>
            <w:tcW w:type="dxa" w:w="230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428.6.2</w:t>
            </w:r>
          </w:p>
        </w:tc>
        <w:tc>
          <w:tcPr>
            <w:tcW w:type="dxa" w:w="7660"/>
            <w:tcBorders>
              <w:top w:val="single" w:color="BFBFBF" w:sz="4"/>
              <w:left w:val="single" w:color="BFBFBF" w:sz="4"/>
              <w:bottom w:val="single" w:color="BFBFBF" w:sz="4"/>
              <w:right w:val="single" w:color="BFBFBF" w:sz="4"/>
            </w:tcBorders>
            <w:tcMar>
              <w:top w:type="dxa" w:w="100"/>
              <w:left w:type="dxa" w:w="140"/>
              <w:bottom w:type="dxa" w:w="100"/>
              <w:right w:type="dxa" w:w="140"/>
            </w:tcMar>
            <w:vAlign w:val="top"/>
          </w:tcPr>
          <w:p>
            <w:pPr>
              <w:spacing w:after="60"/>
            </w:pPr>
            <w:r>
              <w:t xml:space="preserve">Statute requires seven search-log fields. Policy adds an eighth (whether the search was conducted on behalf of another government entity).</w:t>
            </w:r>
          </w:p>
        </w:tc>
      </w:tr>
    </w:tbl>
    <w:p>
      <w:pPr>
        <w:spacing w:after="120" w:before="240"/>
      </w:pPr>
      <w:r>
        <w:rPr>
          <w:b/>
          <w:bCs/>
          <w:color w:val="1F3A66"/>
          <w:sz w:val="26"/>
          <w:szCs w:val="26"/>
        </w:rPr>
        <w:t xml:space="preserve">Summary of Compliance Gaps</w:t>
      </w:r>
    </w:p>
    <w:p>
      <w:pPr>
        <w:spacing w:after="80"/>
        <w:ind w:left="360" w:hanging="200"/>
      </w:pPr>
      <w:r>
        <w:rPr>
          <w:b/>
          <w:bCs/>
          <w:color w:val="1F3A66"/>
          <w:sz w:val="22"/>
          <w:szCs w:val="22"/>
        </w:rPr>
        <w:t xml:space="preserve">•  </w:t>
      </w:r>
      <w:r>
        <w:rPr>
          <w:sz w:val="22"/>
          <w:szCs w:val="22"/>
        </w:rPr>
        <w:t xml:space="preserve">No definitions section (SB 1516 §3 — Missing).</w:t>
      </w:r>
    </w:p>
    <w:p>
      <w:pPr>
        <w:spacing w:after="80"/>
        <w:ind w:left="360" w:hanging="200"/>
      </w:pPr>
      <w:r>
        <w:rPr>
          <w:b/>
          <w:bCs/>
          <w:color w:val="1F3A66"/>
          <w:sz w:val="22"/>
          <w:szCs w:val="22"/>
        </w:rPr>
        <w:t xml:space="preserve">•  </w:t>
      </w:r>
      <w:r>
        <w:rPr>
          <w:sz w:val="22"/>
          <w:szCs w:val="22"/>
        </w:rPr>
        <w:t xml:space="preserve">Default prohibition on sharing with non-Oregon-created government entities is not codified (SB 1516 §5(2)(a) — Missing).</w:t>
      </w:r>
    </w:p>
    <w:p>
      <w:pPr>
        <w:spacing w:after="80"/>
        <w:ind w:left="360" w:hanging="200"/>
      </w:pPr>
      <w:r>
        <w:rPr>
          <w:b/>
          <w:bCs/>
          <w:color w:val="1F3A66"/>
          <w:sz w:val="22"/>
          <w:szCs w:val="22"/>
        </w:rPr>
        <w:t xml:space="preserve">•  </w:t>
      </w:r>
      <w:r>
        <w:rPr>
          <w:sz w:val="22"/>
          <w:szCs w:val="22"/>
        </w:rPr>
        <w:t xml:space="preserve">Substantive limits on outside-agency data sharing — “limited to data relevant” and “no unrestricted or ongoing access” — are not codified (SB 1516 §5(2)(b) — Missing).</w:t>
      </w:r>
    </w:p>
    <w:p>
      <w:pPr>
        <w:spacing w:after="80"/>
        <w:ind w:left="360" w:hanging="200"/>
      </w:pPr>
      <w:r>
        <w:rPr>
          <w:b/>
          <w:bCs/>
          <w:color w:val="1F3A66"/>
          <w:sz w:val="22"/>
          <w:szCs w:val="22"/>
        </w:rPr>
        <w:t xml:space="preserve">•  </w:t>
      </w:r>
      <w:r>
        <w:rPr>
          <w:sz w:val="22"/>
          <w:szCs w:val="22"/>
        </w:rPr>
        <w:t xml:space="preserve">Policy 428.3 phrases the parking-use authorization as “parking regulation and the management of parking facilities,” broader than SB 1516 §4(2)(g)’s “regulating the use of parking facilities” (Partial — should be conformed to the statutory phrase).</w:t>
      </w:r>
    </w:p>
    <w:p>
      <w:pPr>
        <w:spacing w:after="80"/>
        <w:ind w:left="360" w:hanging="200"/>
      </w:pPr>
      <w:r>
        <w:rPr>
          <w:b/>
          <w:bCs/>
          <w:color w:val="1F3A66"/>
          <w:sz w:val="22"/>
          <w:szCs w:val="22"/>
        </w:rPr>
        <w:t xml:space="preserve">•  </w:t>
      </w:r>
      <w:r>
        <w:rPr>
          <w:sz w:val="22"/>
          <w:szCs w:val="22"/>
        </w:rPr>
        <w:t xml:space="preserve">Search log does not capture the number of cameras/devices accessed for outside-agency searches at the live search-log level (SB 1516 §5(2)(b)(C) — Missing).</w:t>
      </w:r>
    </w:p>
    <w:p>
      <w:pPr>
        <w:spacing w:after="80"/>
        <w:ind w:left="360" w:hanging="200"/>
      </w:pPr>
      <w:r>
        <w:rPr>
          <w:b/>
          <w:bCs/>
          <w:color w:val="1F3A66"/>
          <w:sz w:val="22"/>
          <w:szCs w:val="22"/>
        </w:rPr>
        <w:t xml:space="preserve">•  </w:t>
      </w:r>
      <w:r>
        <w:rPr>
          <w:sz w:val="22"/>
          <w:szCs w:val="22"/>
        </w:rPr>
        <w:t xml:space="preserve">Monthly vendor audit is missing the per-search fields (authorized user ID, date/time, LE purpose entered) required by SB 1516 §6(1)(i) (Missing).</w:t>
      </w:r>
    </w:p>
    <w:p>
      <w:pPr>
        <w:spacing w:after="80"/>
        <w:ind w:left="360" w:hanging="200"/>
      </w:pPr>
      <w:r>
        <w:rPr>
          <w:b/>
          <w:bCs/>
          <w:color w:val="1F3A66"/>
          <w:sz w:val="22"/>
          <w:szCs w:val="22"/>
        </w:rPr>
        <w:t xml:space="preserve">•  </w:t>
      </w:r>
      <w:r>
        <w:rPr>
          <w:sz w:val="22"/>
          <w:szCs w:val="22"/>
        </w:rPr>
        <w:t xml:space="preserve">Vendor contract requirements omit CJIS Security Addendum execution and prompt notification of security incidents (SB 1516 §7(2)(e)(D) — Missing).</w:t>
      </w:r>
    </w:p>
    <w:p>
      <w:pPr>
        <w:spacing w:after="80"/>
        <w:ind w:left="360" w:hanging="200"/>
      </w:pPr>
      <w:r>
        <w:rPr>
          <w:b/>
          <w:bCs/>
          <w:color w:val="1F3A66"/>
          <w:sz w:val="22"/>
          <w:szCs w:val="22"/>
        </w:rPr>
        <w:t xml:space="preserve">•  </w:t>
      </w:r>
      <w:r>
        <w:rPr>
          <w:sz w:val="22"/>
          <w:szCs w:val="22"/>
        </w:rPr>
        <w:t xml:space="preserve">Vendor liability language uses softer “contractual remedies … as provided by law” instead of the statute’s explicit reference to damages (SB 1516 §7(2)(e)(E) — Partial).</w:t>
      </w:r>
    </w:p>
    <w:p>
      <w:pPr>
        <w:spacing w:after="80"/>
        <w:ind w:left="360" w:hanging="200"/>
      </w:pPr>
      <w:r>
        <w:rPr>
          <w:b/>
          <w:bCs/>
          <w:color w:val="1F3A66"/>
          <w:sz w:val="22"/>
          <w:szCs w:val="22"/>
        </w:rPr>
        <w:t xml:space="preserve">•  </w:t>
      </w:r>
      <w:r>
        <w:rPr>
          <w:sz w:val="22"/>
          <w:szCs w:val="22"/>
        </w:rPr>
        <w:t xml:space="preserve">Vendor-request-redirection language does not enumerate “judicial warrant, judicial subpoena or administrative subpoena” as the statute does (SB 1516 §7(2)(e)(B) — Partial).</w:t>
      </w:r>
    </w:p>
    <w:p>
      <w:pPr>
        <w:spacing w:after="80"/>
        <w:ind w:left="360" w:hanging="200"/>
      </w:pPr>
      <w:r>
        <w:rPr>
          <w:b/>
          <w:bCs/>
          <w:color w:val="1F3A66"/>
          <w:sz w:val="22"/>
          <w:szCs w:val="22"/>
        </w:rPr>
        <w:t xml:space="preserve">•  </w:t>
      </w:r>
      <w:r>
        <w:rPr>
          <w:sz w:val="22"/>
          <w:szCs w:val="22"/>
        </w:rPr>
        <w:t xml:space="preserve">Policy does not reference the private right of action and attorney-fee provisions for vendor misuse (SB 1516 §9(2)–(3) — Missing, arguably outside policy scope).</w:t>
      </w:r>
    </w:p>
    <w:p>
      <w:pPr>
        <w:spacing w:after="80"/>
        <w:ind w:left="360" w:hanging="200"/>
      </w:pPr>
      <w:r>
        <w:rPr>
          <w:b/>
          <w:bCs/>
          <w:color w:val="1F3A66"/>
          <w:sz w:val="22"/>
          <w:szCs w:val="22"/>
        </w:rPr>
        <w:t xml:space="preserve">•  </w:t>
      </w:r>
      <w:r>
        <w:rPr>
          <w:sz w:val="22"/>
          <w:szCs w:val="22"/>
        </w:rPr>
        <w:t xml:space="preserve">Transition-clause language does not explicitly say §4 authorized-use limits apply regardless of contract date (SB 1516 §8(2) — Partial).</w:t>
      </w:r>
    </w:p>
    <w:sectPr>
      <w:headerReference w:type="default" r:id="rId7"/>
      <w:footerReference w:type="default" r:id="rId8"/>
      <w:pgSz w:w="15840" w:h="12240" w:orient="landscape"/>
      <w:pgMar w:top="1080" w:right="1440" w:bottom="108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777777"/>
        <w:sz w:val="18"/>
        <w:szCs w:val="18"/>
      </w:rPr>
      <w:t xml:space="preserve">Page </w:t>
    </w:r>
    <w:r>
      <w:rPr>
        <w:color w:val="777777"/>
        <w:sz w:val="18"/>
        <w:szCs w:val="18"/>
      </w:rPr>
      <w:fldChar w:fldCharType="begin"/>
      <w:instrText xml:space="preserve">PAGE</w:instrText>
      <w:fldChar w:fldCharType="separate"/>
      <w:fldChar w:fldCharType="end"/>
    </w:r>
    <w:r>
      <w:rPr>
        <w:color w:val="777777"/>
        <w:sz w:val="18"/>
        <w:szCs w:val="18"/>
      </w:rPr>
      <w:t xml:space="preserve"> of </w:t>
    </w:r>
    <w:r>
      <w:rPr>
        <w:color w:val="777777"/>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777777"/>
        <w:sz w:val="18"/>
        <w:szCs w:val="18"/>
      </w:rPr>
      <w:t xml:space="preserve">Exhibit A — SB 1516 vs Policy 428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 1516 vs Bend PD Policy 428 — Side-by-Side Comparison</dc:title>
  <dc:creator>Jonathan Westmoreland</dc:creator>
  <dc:description>Exhibit A to council letter regarding ALPR policy</dc:description>
  <cp:lastModifiedBy>Un-named</cp:lastModifiedBy>
  <cp:revision>1</cp:revision>
  <dcterms:created xsi:type="dcterms:W3CDTF">2026-05-23T00:55:41.060Z</dcterms:created>
  <dcterms:modified xsi:type="dcterms:W3CDTF">2026-05-23T00:55:41.061Z</dcterms:modified>
</cp:coreProperties>
</file>

<file path=docProps/custom.xml><?xml version="1.0" encoding="utf-8"?>
<Properties xmlns="http://schemas.openxmlformats.org/officeDocument/2006/custom-properties" xmlns:vt="http://schemas.openxmlformats.org/officeDocument/2006/docPropsVTypes"/>
</file>