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bookmarkStart w:id="27" w:name="os-age-signals-explained"/>
    <w:p>
      <w:pPr>
        <w:pStyle w:val="Heading1"/>
      </w:pPr>
      <w:r>
        <w:t xml:space="preserve">OS Age Signals, Explained</w:t>
      </w:r>
    </w:p>
    <w:bookmarkStart w:id="20" w:name="X9749bde6b17283f75f82c34387ba1ec2bd2f124"/>
    <w:p>
      <w:pPr>
        <w:pStyle w:val="Heading3"/>
      </w:pPr>
      <w:r>
        <w:t xml:space="preserve">Why the device layer matters — in plain language</w:t>
      </w:r>
    </w:p>
    <w:p>
      <w:pPr>
        <w:pStyle w:val="FirstParagraph"/>
      </w:pPr>
      <w:r>
        <w:rPr>
          <w:bCs/>
          <w:b/>
        </w:rPr>
        <w:t xml:space="preserve">Prepared by:</w:t>
      </w:r>
      <w:r>
        <w:t xml:space="preserve"> </w:t>
      </w:r>
      <w:r>
        <w:t xml:space="preserve">Jonathan Westmoreland, Bend Privacy Alliance</w:t>
      </w:r>
      <w:r>
        <w:t xml:space="preserve"> </w:t>
      </w:r>
      <w:r>
        <w:rPr>
          <w:iCs/>
          <w:i/>
        </w:rPr>
        <w:t xml:space="preserve">A short companion to the Levy briefing memo. The full technical analysis is available as an appendix for anyone who wants the detail behind these points.</w:t>
      </w:r>
    </w:p>
    <w:p>
      <w:r>
        <w:pict>
          <v:rect style="width:0;height:1.5pt" o:hralign="center" o:hrstd="t" o:hr="t"/>
        </w:pict>
      </w:r>
    </w:p>
    <w:bookmarkEnd w:id="20"/>
    <w:bookmarkStart w:id="21" w:name="the-simple-version"/>
    <w:p>
      <w:pPr>
        <w:pStyle w:val="Heading2"/>
      </w:pPr>
      <w:r>
        <w:t xml:space="preserve">The simple version</w:t>
      </w:r>
    </w:p>
    <w:p>
      <w:pPr>
        <w:pStyle w:val="FirstParagraph"/>
      </w:pPr>
      <w:r>
        <w:t xml:space="preserve">An operating-system age-signal law would not necessarily require a person to upload an ID or scan their face. Instead, the device or account system would ask for an age or birth date, turn that into a general age group, and let apps request that age group when the law says they need it.</w:t>
      </w:r>
    </w:p>
    <w:p>
      <w:pPr>
        <w:pStyle w:val="BodyText"/>
      </w:pPr>
      <w:r>
        <w:t xml:space="preserve">That sounds simple, but it changes</w:t>
      </w:r>
      <w:r>
        <w:t xml:space="preserve"> </w:t>
      </w:r>
      <w:r>
        <w:rPr>
          <w:bCs/>
          <w:b/>
        </w:rPr>
        <w:t xml:space="preserve">where age information lives.</w:t>
      </w:r>
      <w:r>
        <w:t xml:space="preserve"> </w:t>
      </w:r>
      <w:r>
        <w:t xml:space="preserve">Instead of one website asking for your age, the age layer moves closer to the root of a person’s digital life: the phone, tablet, computer, or account used to reach many different services.</w:t>
      </w:r>
    </w:p>
    <w:p>
      <w:pPr>
        <w:pStyle w:val="BodyText"/>
      </w:pPr>
      <w:r>
        <w:rPr>
          <w:bCs/>
          <w:b/>
        </w:rPr>
        <w:t xml:space="preserve">One way to picture it:</w:t>
      </w:r>
      <w:r>
        <w:t xml:space="preserve"> </w:t>
      </w:r>
      <w:r>
        <w:t xml:space="preserve">an OS age signal is like putting an age label at the entrance to the device, and then letting apps ask to see the label. That may sound harmless — but the real privacy question is</w:t>
      </w:r>
      <w:r>
        <w:t xml:space="preserve"> </w:t>
      </w:r>
      <w:r>
        <w:rPr>
          <w:iCs/>
          <w:i/>
        </w:rPr>
        <w:t xml:space="preserve">who gets to ask, what they keep, and whether the label later follows the person into more places than lawmakers ever intended.</w:t>
      </w:r>
    </w:p>
    <w:p>
      <w:r>
        <w:pict>
          <v:rect style="width:0;height:1.5pt" o:hralign="center" o:hrstd="t" o:hr="t"/>
        </w:pict>
      </w:r>
    </w:p>
    <w:bookmarkEnd w:id="21"/>
    <w:bookmarkStart w:id="22" w:name="how-it-works-step-by-step"/>
    <w:p>
      <w:pPr>
        <w:pStyle w:val="Heading2"/>
      </w:pPr>
      <w:r>
        <w:t xml:space="preserve">How it works, step by step</w:t>
      </w:r>
    </w:p>
    <w:p>
      <w:pPr>
        <w:pStyle w:val="BlockText"/>
      </w:pPr>
      <w:r>
        <w:rPr>
          <w:bCs/>
          <w:b/>
        </w:rPr>
        <w:t xml:space="preserve">Person enters age or birth date</w:t>
      </w:r>
      <w:r>
        <w:t xml:space="preserve"> </w:t>
      </w:r>
      <w:r>
        <w:t xml:space="preserve">→</w:t>
      </w:r>
      <w:r>
        <w:t xml:space="preserve"> </w:t>
      </w:r>
      <w:r>
        <w:rPr>
          <w:bCs/>
          <w:b/>
        </w:rPr>
        <w:t xml:space="preserve">the phone or account turns it into a general age group</w:t>
      </w:r>
      <w:r>
        <w:t xml:space="preserve"> </w:t>
      </w:r>
      <w:r>
        <w:t xml:space="preserve">(like</w:t>
      </w:r>
      <w:r>
        <w:t xml:space="preserve"> </w:t>
      </w:r>
      <w:r>
        <w:t xml:space="preserve">“</w:t>
      </w:r>
      <w:r>
        <w:t xml:space="preserve">13–15</w:t>
      </w:r>
      <w:r>
        <w:t xml:space="preserve">”</w:t>
      </w:r>
      <w:r>
        <w:t xml:space="preserve"> </w:t>
      </w:r>
      <w:r>
        <w:t xml:space="preserve">or</w:t>
      </w:r>
      <w:r>
        <w:t xml:space="preserve"> </w:t>
      </w:r>
      <w:r>
        <w:t xml:space="preserve">“</w:t>
      </w:r>
      <w:r>
        <w:t xml:space="preserve">18+</w:t>
      </w:r>
      <w:r>
        <w:t xml:space="preserve">”</w:t>
      </w:r>
      <w:r>
        <w:t xml:space="preserve">) →</w:t>
      </w:r>
      <w:r>
        <w:t xml:space="preserve"> </w:t>
      </w:r>
      <w:r>
        <w:rPr>
          <w:bCs/>
          <w:b/>
        </w:rPr>
        <w:t xml:space="preserve">an app asks for that age group</w:t>
      </w:r>
      <w:r>
        <w:t xml:space="preserve"> </w:t>
      </w:r>
      <w:r>
        <w:t xml:space="preserve">→</w:t>
      </w:r>
      <w:r>
        <w:t xml:space="preserve"> </w:t>
      </w:r>
      <w:r>
        <w:rPr>
          <w:bCs/>
          <w:b/>
        </w:rPr>
        <w:t xml:space="preserve">the app receives the signal</w:t>
      </w:r>
      <w:r>
        <w:t xml:space="preserve"> </w:t>
      </w:r>
      <w:r>
        <w:t xml:space="preserve">→</w:t>
      </w:r>
      <w:r>
        <w:t xml:space="preserve"> </w:t>
      </w:r>
      <w:r>
        <w:rPr>
          <w:bCs/>
          <w:b/>
        </w:rPr>
        <w:t xml:space="preserve">under an AB 1043-style law, the app may be treated as knowing the user’s age group</w:t>
      </w:r>
      <w:r>
        <w:t xml:space="preserve"> </w:t>
      </w:r>
      <w:r>
        <w:t xml:space="preserve">→</w:t>
      </w:r>
      <w:r>
        <w:t xml:space="preserve"> </w:t>
      </w:r>
      <w:r>
        <w:rPr>
          <w:bCs/>
          <w:b/>
        </w:rPr>
        <w:t xml:space="preserve">the app changes what protections, limits, or features apply</w:t>
      </w:r>
    </w:p>
    <w:p>
      <w:pPr>
        <w:pStyle w:val="FirstParagraph"/>
      </w:pPr>
      <w:r>
        <w:t xml:space="preserve">The important part is what happens</w:t>
      </w:r>
      <w:r>
        <w:t xml:space="preserve"> </w:t>
      </w:r>
      <w:r>
        <w:rPr>
          <w:iCs/>
          <w:i/>
        </w:rPr>
        <w:t xml:space="preserve">after</w:t>
      </w:r>
      <w:r>
        <w:t xml:space="preserve"> </w:t>
      </w:r>
      <w:r>
        <w:t xml:space="preserve">the first step: once the device or account can produce an age group, it can be asked for again and again — by more apps, and potentially, in a later law, by browsers and websites too.</w:t>
      </w:r>
    </w:p>
    <w:p>
      <w:r>
        <w:pict>
          <v:rect style="width:0;height:1.5pt" o:hralign="center" o:hrstd="t" o:hr="t"/>
        </w:pict>
      </w:r>
    </w:p>
    <w:bookmarkEnd w:id="22"/>
    <w:bookmarkStart w:id="23" w:name="why-this-matters"/>
    <w:p>
      <w:pPr>
        <w:pStyle w:val="Heading2"/>
      </w:pPr>
      <w:r>
        <w:t xml:space="preserve">Why this matters</w:t>
      </w:r>
    </w:p>
    <w:p>
      <w:pPr>
        <w:pStyle w:val="FirstParagraph"/>
      </w:pPr>
      <w:r>
        <w:t xml:space="preserve">The question is not only whether children are protected. They should be — and Oregon already has several laws aimed at student data, minors’ commercial data, AI chatbots, and school-device use. The bigger question is whether Oregon would create a</w:t>
      </w:r>
      <w:r>
        <w:t xml:space="preserve"> </w:t>
      </w:r>
      <w:r>
        <w:rPr>
          <w:bCs/>
          <w:b/>
        </w:rPr>
        <w:t xml:space="preserve">reusable age layer</w:t>
      </w:r>
      <w:r>
        <w:t xml:space="preserve"> </w:t>
      </w:r>
      <w:r>
        <w:t xml:space="preserve">that can later expand from apps to browsers, websites, schools, and other services. A system built to send age signals to apps can quietly become general-purpose infrastructure for knowing — and acting on — everyone’s age.</w:t>
      </w:r>
    </w:p>
    <w:p>
      <w:pPr>
        <w:pStyle w:val="BodyText"/>
      </w:pPr>
      <w:r>
        <w:t xml:space="preserve">California is the live example. It enacted age signals for apps, and it is now considering a follow-on bill that would extend the same signal to browsers and websites. An Oregon law should be read as a</w:t>
      </w:r>
      <w:r>
        <w:t xml:space="preserve"> </w:t>
      </w:r>
      <w:r>
        <w:rPr>
          <w:iCs/>
          <w:i/>
        </w:rPr>
        <w:t xml:space="preserve">first step</w:t>
      </w:r>
      <w:r>
        <w:t xml:space="preserve"> </w:t>
      </w:r>
      <w:r>
        <w:t xml:space="preserve">in that direction unless it includes clear limits that prevent expansion.</w:t>
      </w:r>
    </w:p>
    <w:p>
      <w:r>
        <w:pict>
          <v:rect style="width:0;height:1.5pt" o:hralign="center" o:hrstd="t" o:hr="t"/>
        </w:pict>
      </w:r>
    </w:p>
    <w:bookmarkEnd w:id="23"/>
    <w:bookmarkStart w:id="24" w:name="what-could-go-wrong-everyday-examples"/>
    <w:p>
      <w:pPr>
        <w:pStyle w:val="Heading2"/>
      </w:pPr>
      <w:r>
        <w:t xml:space="preserve">What could go wrong (everyday examples)</w:t>
      </w:r>
    </w:p>
    <w:p>
      <w:pPr>
        <w:pStyle w:val="FirstParagraph"/>
      </w:pPr>
      <w:r>
        <w:t xml:space="preserve">An age signal assumes that one account belongs to one known-age person on one device. Real life is messier:</w:t>
      </w:r>
    </w:p>
    <w:p>
      <w:pPr>
        <w:numPr>
          <w:ilvl w:val="0"/>
          <w:numId w:val="1001"/>
        </w:numPr>
        <w:pStyle w:val="Compact"/>
      </w:pPr>
      <w:r>
        <w:t xml:space="preserve">A child uses a</w:t>
      </w:r>
      <w:r>
        <w:t xml:space="preserve"> </w:t>
      </w:r>
      <w:r>
        <w:rPr>
          <w:bCs/>
          <w:b/>
        </w:rPr>
        <w:t xml:space="preserve">parent’s phone</w:t>
      </w:r>
      <w:r>
        <w:t xml:space="preserve"> </w:t>
      </w:r>
      <w:r>
        <w:t xml:space="preserve">— and the device may tell apps the user is an adult.</w:t>
      </w:r>
    </w:p>
    <w:p>
      <w:pPr>
        <w:numPr>
          <w:ilvl w:val="0"/>
          <w:numId w:val="1001"/>
        </w:numPr>
        <w:pStyle w:val="Compact"/>
      </w:pPr>
      <w:r>
        <w:t xml:space="preserve">A parent uses a</w:t>
      </w:r>
      <w:r>
        <w:t xml:space="preserve"> </w:t>
      </w:r>
      <w:r>
        <w:rPr>
          <w:bCs/>
          <w:b/>
        </w:rPr>
        <w:t xml:space="preserve">child’s tablet</w:t>
      </w:r>
      <w:r>
        <w:t xml:space="preserve"> </w:t>
      </w:r>
      <w:r>
        <w:t xml:space="preserve">— and apps may wrongly restrict a legitimate adult.</w:t>
      </w:r>
    </w:p>
    <w:p>
      <w:pPr>
        <w:numPr>
          <w:ilvl w:val="0"/>
          <w:numId w:val="1001"/>
        </w:numPr>
        <w:pStyle w:val="Compact"/>
      </w:pPr>
      <w:r>
        <w:t xml:space="preserve">A student uses a</w:t>
      </w:r>
      <w:r>
        <w:t xml:space="preserve"> </w:t>
      </w:r>
      <w:r>
        <w:rPr>
          <w:bCs/>
          <w:b/>
        </w:rPr>
        <w:t xml:space="preserve">school-managed device</w:t>
      </w:r>
      <w:r>
        <w:t xml:space="preserve"> </w:t>
      </w:r>
      <w:r>
        <w:t xml:space="preserve">— and the school district can become the age authority, creating new exposure of student data.</w:t>
      </w:r>
    </w:p>
    <w:p>
      <w:pPr>
        <w:numPr>
          <w:ilvl w:val="0"/>
          <w:numId w:val="1001"/>
        </w:numPr>
        <w:pStyle w:val="Compact"/>
      </w:pPr>
      <w:r>
        <w:t xml:space="preserve">A</w:t>
      </w:r>
      <w:r>
        <w:t xml:space="preserve"> </w:t>
      </w:r>
      <w:r>
        <w:rPr>
          <w:bCs/>
          <w:b/>
        </w:rPr>
        <w:t xml:space="preserve">foster youth or emancipated minor</w:t>
      </w:r>
      <w:r>
        <w:t xml:space="preserve"> </w:t>
      </w:r>
      <w:r>
        <w:t xml:space="preserve">does not fit a normal parent-consent model.</w:t>
      </w:r>
    </w:p>
    <w:p>
      <w:pPr>
        <w:numPr>
          <w:ilvl w:val="0"/>
          <w:numId w:val="1001"/>
        </w:numPr>
        <w:pStyle w:val="Compact"/>
      </w:pPr>
      <w:r>
        <w:t xml:space="preserve">A</w:t>
      </w:r>
      <w:r>
        <w:t xml:space="preserve"> </w:t>
      </w:r>
      <w:r>
        <w:rPr>
          <w:bCs/>
          <w:b/>
        </w:rPr>
        <w:t xml:space="preserve">public-library computer</w:t>
      </w:r>
      <w:r>
        <w:t xml:space="preserve"> </w:t>
      </w:r>
      <w:r>
        <w:t xml:space="preserve">has no stable personal account, so the signal is meaningless or simply wrong.</w:t>
      </w:r>
    </w:p>
    <w:p>
      <w:pPr>
        <w:numPr>
          <w:ilvl w:val="0"/>
          <w:numId w:val="1001"/>
        </w:numPr>
        <w:pStyle w:val="Compact"/>
      </w:pPr>
      <w:r>
        <w:t xml:space="preserve">An app contains</w:t>
      </w:r>
      <w:r>
        <w:t xml:space="preserve"> </w:t>
      </w:r>
      <w:r>
        <w:rPr>
          <w:bCs/>
          <w:b/>
        </w:rPr>
        <w:t xml:space="preserve">advertising or analytics code</w:t>
      </w:r>
      <w:r>
        <w:t xml:space="preserve"> </w:t>
      </w:r>
      <w:r>
        <w:t xml:space="preserve">that sits right next to the age signal — which can turn a child-safety feature into a tracking tool.</w:t>
      </w:r>
    </w:p>
    <w:p>
      <w:pPr>
        <w:pStyle w:val="FirstParagraph"/>
      </w:pPr>
      <w:r>
        <w:t xml:space="preserve">These are not rare corner cases to wave away. They are exactly the situations where the system either blocks a legitimate adult or wrongly labels a child — and where a</w:t>
      </w:r>
      <w:r>
        <w:t xml:space="preserve"> </w:t>
      </w:r>
      <w:r>
        <w:t xml:space="preserve">“</w:t>
      </w:r>
      <w:r>
        <w:t xml:space="preserve">safety</w:t>
      </w:r>
      <w:r>
        <w:t xml:space="preserve">”</w:t>
      </w:r>
      <w:r>
        <w:t xml:space="preserve"> </w:t>
      </w:r>
      <w:r>
        <w:t xml:space="preserve">signal can leak into uses no one intended.</w:t>
      </w:r>
    </w:p>
    <w:p>
      <w:r>
        <w:pict>
          <v:rect style="width:0;height:1.5pt" o:hralign="center" o:hrstd="t" o:hr="t"/>
        </w:pict>
      </w:r>
    </w:p>
    <w:bookmarkEnd w:id="24"/>
    <w:bookmarkStart w:id="25" w:name="X9dbae300aede37e55d7e71d16b12dfe5f38b6b4"/>
    <w:p>
      <w:pPr>
        <w:pStyle w:val="Heading2"/>
      </w:pPr>
      <w:r>
        <w:t xml:space="preserve">What safeguards Oregon should require (the red lines)</w:t>
      </w:r>
    </w:p>
    <w:p>
      <w:pPr>
        <w:pStyle w:val="FirstParagraph"/>
      </w:pPr>
      <w:r>
        <w:t xml:space="preserve">If Oregon adopts any age-signal system, these should be the floor:</w:t>
      </w:r>
    </w:p>
    <w:p>
      <w:pPr>
        <w:numPr>
          <w:ilvl w:val="0"/>
          <w:numId w:val="1002"/>
        </w:numPr>
        <w:pStyle w:val="Compact"/>
      </w:pPr>
      <w:r>
        <w:rPr>
          <w:bCs/>
          <w:b/>
        </w:rPr>
        <w:t xml:space="preserve">No sharing of exact birth dates</w:t>
      </w:r>
      <w:r>
        <w:t xml:space="preserve"> </w:t>
      </w:r>
      <w:r>
        <w:t xml:space="preserve">— a general age group, at most.</w:t>
      </w:r>
    </w:p>
    <w:p>
      <w:pPr>
        <w:numPr>
          <w:ilvl w:val="0"/>
          <w:numId w:val="1002"/>
        </w:numPr>
        <w:pStyle w:val="Compact"/>
      </w:pPr>
      <w:r>
        <w:rPr>
          <w:bCs/>
          <w:b/>
        </w:rPr>
        <w:t xml:space="preserve">No mandate for government ID or face scans.</w:t>
      </w:r>
    </w:p>
    <w:p>
      <w:pPr>
        <w:numPr>
          <w:ilvl w:val="0"/>
          <w:numId w:val="1002"/>
        </w:numPr>
        <w:pStyle w:val="Compact"/>
      </w:pPr>
      <w:r>
        <w:rPr>
          <w:bCs/>
          <w:b/>
        </w:rPr>
        <w:t xml:space="preserve">No central state age database.</w:t>
      </w:r>
    </w:p>
    <w:p>
      <w:pPr>
        <w:numPr>
          <w:ilvl w:val="0"/>
          <w:numId w:val="1002"/>
        </w:numPr>
        <w:pStyle w:val="Compact"/>
      </w:pPr>
      <w:r>
        <w:rPr>
          <w:bCs/>
          <w:b/>
        </w:rPr>
        <w:t xml:space="preserve">No use of age signals for advertising, profiling, school discipline, or immigration enforcement.</w:t>
      </w:r>
    </w:p>
    <w:p>
      <w:pPr>
        <w:numPr>
          <w:ilvl w:val="0"/>
          <w:numId w:val="1002"/>
        </w:numPr>
        <w:pStyle w:val="Compact"/>
      </w:pPr>
      <w:r>
        <w:rPr>
          <w:bCs/>
          <w:b/>
        </w:rPr>
        <w:t xml:space="preserve">Law-enforcement access should require a warrant or court order.</w:t>
      </w:r>
    </w:p>
    <w:p>
      <w:pPr>
        <w:numPr>
          <w:ilvl w:val="0"/>
          <w:numId w:val="1002"/>
        </w:numPr>
        <w:pStyle w:val="Compact"/>
      </w:pPr>
      <w:r>
        <w:rPr>
          <w:bCs/>
          <w:b/>
        </w:rPr>
        <w:t xml:space="preserve">No expansion from apps to browsers or websites</w:t>
      </w:r>
      <w:r>
        <w:t xml:space="preserve"> </w:t>
      </w:r>
      <w:r>
        <w:t xml:space="preserve">without separate legislation, public hearings, and a recorded legislative vote.</w:t>
      </w:r>
    </w:p>
    <w:p>
      <w:pPr>
        <w:numPr>
          <w:ilvl w:val="0"/>
          <w:numId w:val="1002"/>
        </w:numPr>
        <w:pStyle w:val="Compact"/>
      </w:pPr>
      <w:r>
        <w:rPr>
          <w:bCs/>
          <w:b/>
        </w:rPr>
        <w:t xml:space="preserve">Real protections</w:t>
      </w:r>
      <w:r>
        <w:t xml:space="preserve"> </w:t>
      </w:r>
      <w:r>
        <w:t xml:space="preserve">for school-managed devices, open-source systems, and accessibility tools — and</w:t>
      </w:r>
      <w:r>
        <w:t xml:space="preserve"> </w:t>
      </w:r>
      <w:r>
        <w:rPr>
          <w:bCs/>
          <w:b/>
        </w:rPr>
        <w:t xml:space="preserve">prompt deletion</w:t>
      </w:r>
      <w:r>
        <w:t xml:space="preserve"> </w:t>
      </w:r>
      <w:r>
        <w:t xml:space="preserve">of any underlying age proof.</w:t>
      </w:r>
    </w:p>
    <w:p>
      <w:r>
        <w:pict>
          <v:rect style="width:0;height:1.5pt" o:hralign="center" o:hrstd="t" o:hr="t"/>
        </w:pict>
      </w:r>
    </w:p>
    <w:bookmarkEnd w:id="25"/>
    <w:bookmarkStart w:id="26" w:name="a-short-plain-language-glossary"/>
    <w:p>
      <w:pPr>
        <w:pStyle w:val="Heading2"/>
      </w:pPr>
      <w:r>
        <w:t xml:space="preserve">A short plain-language glossary</w:t>
      </w:r>
    </w:p>
    <w:p>
      <w:pPr>
        <w:pStyle w:val="FirstParagraph"/>
      </w:pPr>
      <w:r>
        <w:t xml:space="preserve">For reading alongside the technical analysis:</w:t>
      </w:r>
    </w:p>
    <w:tbl>
      <w:tblPr>
        <w:tblStyle w:val="Table"/>
        <w:tblW w:type="pct" w:w="5000"/>
        <w:tblLook w:firstRow="1" w:lastRow="0" w:firstColumn="0" w:lastColumn="0" w:noHBand="0" w:noVBand="0" w:val="0020"/>
        <w:jc w:val="start"/>
      </w:tblPr>
      <w:tblGrid>
        <w:gridCol w:w="3960"/>
        <w:gridCol w:w="3960"/>
      </w:tblGrid>
      <w:tr>
        <w:trPr>
          <w:tblHeader w:val="true"/>
        </w:trPr>
        <w:tc>
          <w:tcPr/>
          <w:p>
            <w:pPr>
              <w:pStyle w:val="Compact"/>
              <w:jc w:val="left"/>
            </w:pPr>
            <w:r>
              <w:t xml:space="preserve">Technical term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What it means in plain language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Operating-system age signal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An age label created by the device or account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API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A software doorway that lets an app ask for information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Age bracket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A general age group, like 13–15 or 18+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Persistent identifier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A recurring tag that can help recognize the same user or app install over time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SDK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Outside code placed inside an app, often used for ads, analytics, or tracking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Linkability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The ability to connect the same person across apps, sessions, or devices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Actual knowledge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The law treating an app as if it knows the user’s age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Scope creep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A system built for one purpose expanding into more uses later</w:t>
            </w:r>
          </w:p>
        </w:tc>
      </w:tr>
    </w:tbl>
    <w:p>
      <w:r>
        <w:pict>
          <v:rect style="width:0;height:1.5pt" o:hralign="center" o:hrstd="t" o:hr="t"/>
        </w:pict>
      </w:r>
    </w:p>
    <w:p>
      <w:pPr>
        <w:pStyle w:val="FirstParagraph"/>
      </w:pPr>
      <w:r>
        <w:rPr>
          <w:iCs/>
          <w:i/>
        </w:rPr>
        <w:t xml:space="preserve">Oregon can protect minors online without building a reusable age-surveillance layer. The job of this explainer is to make the architecture clear enough that a lawmaker can ask the right questions — not to prove every claim. The technical companion and the research archive provide the supporting detail and the primary-source citations.</w:t>
      </w:r>
    </w:p>
    <w:p>
      <w:pPr>
        <w:pStyle w:val="BodyText"/>
      </w:pPr>
      <w:r>
        <w:rPr>
          <w:iCs/>
          <w:i/>
        </w:rPr>
        <w:t xml:space="preserve">Prepared by Jonathan Westmoreland, Bend Privacy Alliance. Note: the platform tools described here are new and changing, and the related litigation moves quickly; confirm current status before relying on any specific detail in a public setting.</w:t>
      </w:r>
    </w:p>
    <w:bookmarkEnd w:id="26"/>
    <w:bookmarkEnd w:id="27"/>
    <w:sectPr/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2000500000000000000"/>
    <w:charset w:val="02"/>
    <w:family w:val="auto"/>
    <w:pitch w:val="variable"/>
    <w:sig w:usb0="00000000" w:usb1="00000000" w:usb2="0001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20102010804080708"/>
    <w:charset w:val="02"/>
    <w:family w:val="auto"/>
    <w:pitch w:val="variable"/>
    <w:sig w:usb0="00000000" w:usb1="00000000" w:usb2="00010000" w:usb3="00000000" w:csb0="8000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w="http://schemas.openxmlformats.org/wordprocessingml/2006/main">
  <w:abstractNum w:abstractNumId="990">
    <w:nsid w:val="A990"/>
    <w:multiLevelType w:val="multilevel"/>
    <w:lvl w:ilvl="0">
      <w:numFmt w:val="bullet"/>
      <w:lvlText w:val=" "/>
      <w:lvlJc w:val="left"/>
      <w:pPr>
        <w:ind w:left="720" w:hanging="480"/>
      </w:pPr>
    </w:lvl>
    <w:lvl w:ilvl="1">
      <w:numFmt w:val="bullet"/>
      <w:lvlText w:val=" "/>
      <w:lvlJc w:val="left"/>
      <w:pPr>
        <w:ind w:left="1440" w:hanging="480"/>
      </w:pPr>
    </w:lvl>
    <w:lvl w:ilvl="2">
      <w:numFmt w:val="bullet"/>
      <w:lvlText w:val=" "/>
      <w:lvlJc w:val="left"/>
      <w:pPr>
        <w:ind w:left="2160" w:hanging="480"/>
      </w:pPr>
    </w:lvl>
    <w:lvl w:ilvl="3">
      <w:numFmt w:val="bullet"/>
      <w:lvlText w:val=" "/>
      <w:lvlJc w:val="left"/>
      <w:pPr>
        <w:ind w:left="2880" w:hanging="480"/>
      </w:pPr>
    </w:lvl>
    <w:lvl w:ilvl="4">
      <w:numFmt w:val="bullet"/>
      <w:lvlText w:val=" "/>
      <w:lvlJc w:val="left"/>
      <w:pPr>
        <w:ind w:left="3600" w:hanging="480"/>
      </w:pPr>
    </w:lvl>
    <w:lvl w:ilvl="5">
      <w:numFmt w:val="bullet"/>
      <w:lvlText w:val=" "/>
      <w:lvlJc w:val="left"/>
      <w:pPr>
        <w:ind w:left="4320" w:hanging="480"/>
      </w:pPr>
    </w:lvl>
    <w:lvl w:ilvl="6">
      <w:numFmt w:val="bullet"/>
      <w:lvlText w:val=" "/>
      <w:lvlJc w:val="left"/>
      <w:pPr>
        <w:ind w:left="5040" w:hanging="480"/>
      </w:pPr>
    </w:lvl>
    <w:lvl w:ilvl="7">
      <w:numFmt w:val="bullet"/>
      <w:lvlText w:val=" "/>
      <w:lvlJc w:val="left"/>
      <w:pPr>
        <w:ind w:left="5760" w:hanging="480"/>
      </w:pPr>
    </w:lvl>
    <w:lvl w:ilvl="8">
      <w:numFmt w:val="bullet"/>
      <w:lvlText w:val=" "/>
      <w:lvlJc w:val="left"/>
      <w:pPr>
        <w:ind w:left="6480" w:hanging="480"/>
      </w:pPr>
    </w:lvl>
  </w:abstractNum>
  <w:abstractNum w:abstractNumId="991">
    <w:nsid w:val="A991"/>
    <w:multiLevelType w:val="multilevel"/>
    <w:lvl w:ilvl="0">
      <w:numFmt w:val="bullet"/>
      <w:lvlText w:val="•"/>
      <w:lvlJc w:val="left"/>
      <w:pPr>
        <w:ind w:left="720" w:hanging="480"/>
      </w:pPr>
    </w:lvl>
    <w:lvl w:ilvl="1">
      <w:numFmt w:val="bullet"/>
      <w:lvlText w:val="–"/>
      <w:lvlJc w:val="left"/>
      <w:pPr>
        <w:ind w:left="1440" w:hanging="480"/>
      </w:pPr>
    </w:lvl>
    <w:lvl w:ilvl="2">
      <w:numFmt w:val="bullet"/>
      <w:lvlText w:val="•"/>
      <w:lvlJc w:val="left"/>
      <w:pPr>
        <w:ind w:left="2160" w:hanging="480"/>
      </w:pPr>
    </w:lvl>
    <w:lvl w:ilvl="3">
      <w:numFmt w:val="bullet"/>
      <w:lvlText w:val="–"/>
      <w:lvlJc w:val="left"/>
      <w:pPr>
        <w:ind w:left="2880" w:hanging="480"/>
      </w:pPr>
    </w:lvl>
    <w:lvl w:ilvl="4">
      <w:numFmt w:val="bullet"/>
      <w:lvlText w:val="•"/>
      <w:lvlJc w:val="left"/>
      <w:pPr>
        <w:ind w:left="3600" w:hanging="480"/>
      </w:pPr>
    </w:lvl>
    <w:lvl w:ilvl="5">
      <w:numFmt w:val="bullet"/>
      <w:lvlText w:val="–"/>
      <w:lvlJc w:val="left"/>
      <w:pPr>
        <w:ind w:left="4320" w:hanging="480"/>
      </w:pPr>
    </w:lvl>
    <w:lvl w:ilvl="6">
      <w:numFmt w:val="bullet"/>
      <w:lvlText w:val="•"/>
      <w:lvlJc w:val="left"/>
      <w:pPr>
        <w:ind w:left="5040" w:hanging="480"/>
      </w:pPr>
    </w:lvl>
    <w:lvl w:ilvl="7">
      <w:numFmt w:val="bullet"/>
      <w:lvlText w:val="–"/>
      <w:lvlJc w:val="left"/>
      <w:pPr>
        <w:ind w:left="5760" w:hanging="480"/>
      </w:pPr>
    </w:lvl>
    <w:lvl w:ilvl="8">
      <w:numFmt w:val="bullet"/>
      <w:lvlText w:val="•"/>
      <w:lvlJc w:val="left"/>
      <w:pPr>
        <w:ind w:left="6480" w:hanging="480"/>
      </w:pPr>
    </w:lvl>
  </w:abstractNum>
  <w:num w:numId="1000">
    <w:abstractNumId w:val="990"/>
  </w:num>
  <w:num w:numId="1001">
    <w:abstractNumId w:val="991"/>
  </w:num>
  <w:num w:numId="1002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stylePaneFormatFilter w:val="0004"/>
  <w:footnotePr>
    <w:footnote w:id="-1"/>
    <w:footnote w:id="0"/>
  </w:footnotePr>
  <w:rsids>
  </w:rsids>
  <w:clrSchemeMapping w:accent1="accent1" w:accent2="accent2" w:accent3="accent3" w:accent4="accent4" w:accent5="accent5" w:accent6="accent6" w:bg1="light1" w:bg2="light2" w:followedHyperlink="followedHyperlink" w:hyperlink="hyperlink" w:t1="dark1" w:t2="dark2"/>
  <w:zoom w:percent="100"/>
  <w:embedSystemFonts/>
  <w:proofState w:grammar="clean" w:spelling="clean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m:mathPr>
    <m:mathFont m:val="Cambria Math"/>
    <m:brkBin m:val="before"/>
    <m:brkBinSub m:val="--"/>
    <m:smallFrac m:val="0"/>
    <m:dispDef/>
    <m:lMargin m:val="0"/>
    <m:rMargin m:val="0"/>
    <m:wrapRight/>
    <m:intLim m:val="subSup"/>
    <m:naryLim m:val="undOvr"/>
  </m:mathPr>
  <w:themeFontLang w:val="en-US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cstheme="minorBidi" w:eastAsiaTheme="minorHAnsi" w:hAnsiTheme="minorHAnsi"/>
        <w:sz w:val="24"/>
        <w:szCs w:val="24"/>
        <w:lang w:bidi="ar-SA" w:eastAsia="en-US" w:val="en-US"/>
      </w:rPr>
    </w:rPrDefault>
    <w:pPrDefault>
      <w:pPr>
        <w:spacing w:after="200"/>
      </w:pPr>
    </w:pPrDefault>
  </w:docDefaults>
  <w:latentStyles w:count="276" w:defLockedState="0" w:defQFormat="0" w:defSemiHidden="0" w:defUIPriority="0" w:defUnhideWhenUsed="0"/>
  <w:style w:default="1" w:styleId="Normal" w:type="paragraph">
    <w:name w:val="Normal"/>
    <w:qFormat/>
  </w:style>
  <w:style w:styleId="BodyText" w:type="paragraph">
    <w:name w:val="Body Text"/>
    <w:basedOn w:val="Normal"/>
    <w:link w:val="BodyTextChar"/>
    <w:pPr>
      <w:spacing w:after="180" w:before="180"/>
    </w:pPr>
    <w:qFormat/>
  </w:style>
  <w:style w:customStyle="1" w:styleId="FirstParagraph" w:type="paragraph">
    <w:name w:val="First Paragraph"/>
    <w:basedOn w:val="BodyText"/>
    <w:next w:val="BodyText"/>
    <w:qFormat/>
  </w:style>
  <w:style w:customStyle="1" w:styleId="Compact" w:type="paragraph">
    <w:name w:val="Compact"/>
    <w:basedOn w:val="BodyText"/>
    <w:qFormat/>
    <w:pPr>
      <w:spacing w:after="36" w:before="36"/>
    </w:pPr>
  </w:style>
  <w:style w:styleId="Title" w:type="paragraph">
    <w:name w:val="Title"/>
    <w:basedOn w:val="Normal"/>
    <w:next w:val="BodyText"/>
    <w:qFormat/>
    <w:pPr>
      <w:keepNext/>
      <w:keepLines/>
      <w:spacing w:after="240" w:before="480"/>
      <w:jc w:val="center"/>
    </w:pPr>
    <w:rPr>
      <w:rFonts w:asciiTheme="majorHAnsi" w:cstheme="majorBidi" w:eastAsiaTheme="majorEastAsia" w:hAnsiTheme="majorHAnsi"/>
      <w:b/>
      <w:bCs/>
      <w:color w:themeColor="accent1" w:themeShade="B5" w:val="345A8A"/>
      <w:sz w:val="36"/>
      <w:szCs w:val="36"/>
    </w:rPr>
  </w:style>
  <w:style w:styleId="Subtitle" w:type="paragraph">
    <w:name w:val="Subtitle"/>
    <w:basedOn w:val="Title"/>
    <w:next w:val="BodyText"/>
    <w:qFormat/>
    <w:pPr>
      <w:keepNext/>
      <w:keepLines/>
      <w:spacing w:after="240" w:before="240"/>
      <w:jc w:val="center"/>
    </w:pPr>
    <w:rPr>
      <w:sz w:val="30"/>
      <w:szCs w:val="30"/>
    </w:rPr>
  </w:style>
  <w:style w:customStyle="1" w:styleId="Author" w:type="paragraph">
    <w:name w:val="Author"/>
    <w:next w:val="BodyText"/>
    <w:qFormat/>
    <w:pPr>
      <w:keepNext/>
      <w:keepLines/>
      <w:jc w:val="center"/>
    </w:pPr>
  </w:style>
  <w:style w:styleId="Date" w:type="paragraph">
    <w:name w:val="Date"/>
    <w:next w:val="BodyText"/>
    <w:qFormat/>
    <w:pPr>
      <w:keepNext/>
      <w:keepLines/>
      <w:jc w:val="center"/>
    </w:pPr>
  </w:style>
  <w:style w:customStyle="1" w:styleId="AbstractTitle" w:type="paragraph">
    <w:name w:val="Abstract Title"/>
    <w:basedOn w:val="Normal"/>
    <w:next w:val="Abstract"/>
    <w:qFormat/>
    <w:pPr>
      <w:keepNext/>
      <w:keepLines/>
      <w:jc w:val="center"/>
      <w:spacing w:after="0" w:before="300"/>
    </w:pPr>
    <w:rPr>
      <w:sz w:val="20"/>
      <w:szCs w:val="20"/>
      <w:b/>
      <w:color w:val="345A8A"/>
      &gt;
    </w:rPr>
  </w:style>
  <w:style w:customStyle="1" w:styleId="Abstract" w:type="paragraph">
    <w:name w:val="Abstract"/>
    <w:basedOn w:val="Normal"/>
    <w:next w:val="BodyText"/>
    <w:qFormat/>
    <w:pPr>
      <w:keepNext/>
      <w:keepLines/>
      <w:spacing w:after="300" w:before="100"/>
    </w:pPr>
    <w:rPr>
      <w:sz w:val="20"/>
      <w:szCs w:val="20"/>
    </w:rPr>
  </w:style>
  <w:style w:styleId="Bibliography" w:type="paragraph">
    <w:name w:val="Bibliography"/>
    <w:basedOn w:val="Normal"/>
    <w:next w:val="Bibliography"/>
    <w:qFormat/>
    <w:pPr/>
    <w:rPr/>
  </w:style>
  <w:style w:styleId="Heading1" w:type="paragraph">
    <w:name w:val="Heading 1"/>
    <w:basedOn w:val="Normal"/>
    <w:next w:val="BodyText"/>
    <w:uiPriority w:val="9"/>
    <w:qFormat/>
    <w:pPr>
      <w:keepNext/>
      <w:keepLines/>
      <w:spacing w:after="0" w:before="480"/>
      <w:outlineLvl w:val="0"/>
    </w:pPr>
    <w:rPr>
      <w:rFonts w:asciiTheme="majorHAnsi" w:cstheme="majorBidi" w:eastAsiaTheme="majorEastAsia" w:hAnsiTheme="majorHAnsi"/>
      <w:b/>
      <w:bCs/>
      <w:color w:themeColor="accent1" w:val="4F81BD"/>
      <w:sz w:val="32"/>
      <w:szCs w:val="32"/>
    </w:rPr>
  </w:style>
  <w:style w:styleId="Heading2" w:type="paragraph">
    <w:name w:val="Heading 2"/>
    <w:basedOn w:val="Normal"/>
    <w:next w:val="BodyText"/>
    <w:uiPriority w:val="9"/>
    <w:unhideWhenUsed/>
    <w:qFormat/>
    <w:pPr>
      <w:keepNext/>
      <w:keepLines/>
      <w:spacing w:after="0"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8"/>
      <w:szCs w:val="28"/>
    </w:rPr>
  </w:style>
  <w:style w:styleId="Heading3" w:type="paragraph">
    <w:name w:val="Heading 3"/>
    <w:basedOn w:val="Normal"/>
    <w:next w:val="BodyText"/>
    <w:uiPriority w:val="9"/>
    <w:unhideWhenUsed/>
    <w:qFormat/>
    <w:pPr>
      <w:keepNext/>
      <w:keepLines/>
      <w:spacing w:after="0" w:before="200"/>
      <w:outlineLvl w:val="2"/>
    </w:pPr>
    <w:rPr>
      <w:rFonts w:asciiTheme="majorHAnsi" w:cstheme="majorBidi" w:eastAsiaTheme="majorEastAsia" w:hAnsiTheme="majorHAnsi"/>
      <w:b/>
      <w:bCs/>
      <w:color w:themeColor="accent1" w:val="4F81BD"/>
      <w:sz w:val="24"/>
      <w:szCs w:val="24"/>
    </w:rPr>
  </w:style>
  <w:style w:styleId="Heading4" w:type="paragraph">
    <w:name w:val="Heading 4"/>
    <w:basedOn w:val="Normal"/>
    <w:next w:val="BodyText"/>
    <w:uiPriority w:val="9"/>
    <w:unhideWhenUsed/>
    <w:qFormat/>
    <w:pPr>
      <w:keepNext/>
      <w:keepLines/>
      <w:spacing w:after="0" w:before="200"/>
      <w:outlineLvl w:val="3"/>
    </w:pPr>
    <w:rPr>
      <w:rFonts w:asciiTheme="majorHAnsi" w:cstheme="majorBidi" w:eastAsiaTheme="majorEastAsia" w:hAnsiTheme="majorHAnsi"/>
      <w:i/>
      <w:bCs/>
      <w:color w:themeColor="accent1" w:val="4F81BD"/>
      <w:sz w:val="24"/>
      <w:szCs w:val="24"/>
    </w:rPr>
  </w:style>
  <w:style w:styleId="Heading5" w:type="paragraph">
    <w:name w:val="Heading 5"/>
    <w:basedOn w:val="Normal"/>
    <w:next w:val="BodyText"/>
    <w:uiPriority w:val="9"/>
    <w:unhideWhenUsed/>
    <w:qFormat/>
    <w:pPr>
      <w:keepNext/>
      <w:keepLines/>
      <w:spacing w:after="0" w:before="200"/>
      <w:outlineLvl w:val="4"/>
    </w:pPr>
    <w:rPr>
      <w:rFonts w:asciiTheme="majorHAnsi" w:cstheme="majorBidi" w:eastAsiaTheme="majorEastAsia" w:hAnsiTheme="majorHAnsi"/>
      <w:iCs/>
      <w:color w:themeColor="accent1" w:val="4F81BD"/>
      <w:sz w:val="24"/>
      <w:szCs w:val="24"/>
    </w:rPr>
  </w:style>
  <w:style w:styleId="Heading6" w:type="paragraph">
    <w:name w:val="Heading 6"/>
    <w:basedOn w:val="Normal"/>
    <w:next w:val="BodyText"/>
    <w:uiPriority w:val="9"/>
    <w:unhideWhenUsed/>
    <w:qFormat/>
    <w:pPr>
      <w:keepNext/>
      <w:keepLines/>
      <w:spacing w:after="0" w:before="200"/>
      <w:outlineLvl w:val="5"/>
    </w:pPr>
    <w:rPr>
      <w:rFonts w:asciiTheme="majorHAnsi" w:cstheme="majorBidi" w:eastAsiaTheme="majorEastAsia" w:hAnsiTheme="majorHAnsi"/>
      <w:color w:themeColor="accent1" w:val="4F81BD"/>
      <w:sz w:val="24"/>
      <w:szCs w:val="24"/>
    </w:rPr>
  </w:style>
  <w:style w:styleId="Heading7" w:type="paragraph">
    <w:name w:val="Heading 7"/>
    <w:basedOn w:val="Normal"/>
    <w:next w:val="BodyText"/>
    <w:uiPriority w:val="9"/>
    <w:unhideWhenUsed/>
    <w:qFormat/>
    <w:pPr>
      <w:keepNext/>
      <w:keepLines/>
      <w:spacing w:after="0" w:before="200"/>
      <w:outlineLvl w:val="6"/>
    </w:pPr>
    <w:rPr>
      <w:rFonts w:asciiTheme="majorHAnsi" w:cstheme="majorBidi" w:eastAsiaTheme="majorEastAsia" w:hAnsiTheme="majorHAnsi"/>
      <w:color w:themeColor="accent1" w:val="4F81BD"/>
      <w:sz w:val="24"/>
      <w:szCs w:val="24"/>
    </w:rPr>
  </w:style>
  <w:style w:styleId="Heading8" w:type="paragraph">
    <w:name w:val="Heading 8"/>
    <w:basedOn w:val="Normal"/>
    <w:next w:val="BodyText"/>
    <w:uiPriority w:val="9"/>
    <w:unhideWhenUsed/>
    <w:qFormat/>
    <w:pPr>
      <w:keepNext/>
      <w:keepLines/>
      <w:spacing w:after="0" w:before="200"/>
      <w:outlineLvl w:val="7"/>
    </w:pPr>
    <w:rPr>
      <w:rFonts w:asciiTheme="majorHAnsi" w:cstheme="majorBidi" w:eastAsiaTheme="majorEastAsia" w:hAnsiTheme="majorHAnsi"/>
      <w:color w:themeColor="accent1" w:val="4F81BD"/>
      <w:sz w:val="24"/>
      <w:szCs w:val="24"/>
    </w:rPr>
  </w:style>
  <w:style w:styleId="Heading9" w:type="paragraph">
    <w:name w:val="Heading 9"/>
    <w:basedOn w:val="Normal"/>
    <w:next w:val="BodyText"/>
    <w:uiPriority w:val="9"/>
    <w:unhideWhenUsed/>
    <w:qFormat/>
    <w:pPr>
      <w:keepNext/>
      <w:keepLines/>
      <w:spacing w:after="0" w:before="200"/>
      <w:outlineLvl w:val="8"/>
    </w:pPr>
    <w:rPr>
      <w:rFonts w:asciiTheme="majorHAnsi" w:cstheme="majorBidi" w:eastAsiaTheme="majorEastAsia" w:hAnsiTheme="majorHAnsi"/>
      <w:color w:themeColor="accent1" w:val="4F81BD"/>
      <w:sz w:val="24"/>
      <w:szCs w:val="24"/>
    </w:rPr>
  </w:style>
  <w:style w:styleId="BlockText" w:type="paragraph">
    <w:name w:val="Block Text"/>
    <w:basedOn w:val="BodyText"/>
    <w:next w:val="BodyText"/>
    <w:uiPriority w:val="9"/>
    <w:unhideWhenUsed/>
    <w:qFormat/>
    <w:pPr>
      <w:spacing w:after="100" w:before="100"/>
      <w:ind w:firstLine="0" w:left="480" w:right="480"/>
    </w:pPr>
  </w:style>
  <w:style w:styleId="FootnoteText" w:type="paragraph">
    <w:name w:val="Footnote Text"/>
    <w:basedOn w:val="Normal"/>
    <w:next w:val="FootnoteText"/>
    <w:uiPriority w:val="9"/>
    <w:unhideWhenUsed/>
    <w:qFormat/>
  </w:style>
  <w:style w:default="1" w:styleId="DefaultParagraphFont" w:type="character">
    <w:name w:val="Default Paragraph Font"/>
    <w:semiHidden/>
    <w:unhideWhenUsed/>
  </w:style>
  <w:style w:default="1" w:styleId="Table" w:type="table">
    <w:name w:val="Table"/>
    <w:basedOn w:val="TableNormal"/>
    <w:semiHidden/>
    <w:unhideWhenUsed/>
    <w:qFormat/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>
        <w:jc w:val="left"/>
        <w:tblInd w:type="dxa" w:w="0"/>
      </w:tblPr>
      <w:trPr>
        <w:jc w:val="left"/>
      </w:trPr>
      <w:tcPr>
        <w:vAlign w:val="bottom"/>
        <w:tcBorders>
          <w:bottom w:val="single"/>
        </w:tcBorders>
      </w:tcPr>
    </w:tblStylePr>
  </w:style>
  <w:style w:customStyle="1" w:styleId="DefinitionTerm" w:type="paragraph">
    <w:name w:val="Definition Term"/>
    <w:basedOn w:val="Normal"/>
    <w:next w:val="Definition"/>
    <w:pPr>
      <w:keepNext/>
      <w:keepLines/>
      <w:spacing w:after="0"/>
    </w:pPr>
    <w:rPr>
      <w:b/>
    </w:rPr>
  </w:style>
  <w:style w:customStyle="1" w:styleId="Definition" w:type="paragraph">
    <w:name w:val="Definition"/>
    <w:basedOn w:val="Normal"/>
  </w:style>
  <w:style w:styleId="Caption" w:type="paragraph">
    <w:name w:val="Caption"/>
    <w:basedOn w:val="Normal"/>
    <w:link w:val="BodyTextChar"/>
    <w:pPr>
      <w:spacing w:after="120" w:before="0"/>
    </w:pPr>
    <w:rPr>
      <w:i/>
    </w:rPr>
  </w:style>
  <w:style w:customStyle="1" w:styleId="TableCaption" w:type="paragraph">
    <w:name w:val="Table Caption"/>
    <w:basedOn w:val="Caption"/>
    <w:pPr>
      <w:keepNext/>
    </w:pPr>
  </w:style>
  <w:style w:customStyle="1" w:styleId="ImageCaption" w:type="paragraph">
    <w:name w:val="Image Caption"/>
    <w:basedOn w:val="Caption"/>
  </w:style>
  <w:style w:customStyle="1" w:styleId="Figure" w:type="paragraph">
    <w:name w:val="Figure"/>
    <w:basedOn w:val="Normal"/>
  </w:style>
  <w:style w:customStyle="1" w:styleId="CaptionedFigure" w:type="paragraph">
    <w:name w:val="Captioned Figure"/>
    <w:basedOn w:val="Figure"/>
    <w:pPr>
      <w:keepNext/>
    </w:pPr>
  </w:style>
  <w:style w:customStyle="1" w:styleId="BodyTextChar" w:type="character">
    <w:name w:val="Body Text Char"/>
    <w:basedOn w:val="DefaultParagraphFont"/>
    <w:link w:val="BodyText"/>
  </w:style>
  <w:style w:customStyle="1" w:styleId="VerbatimChar" w:type="character">
    <w:name w:val="Verbatim Char"/>
    <w:basedOn w:val="BodyTextChar"/>
    <w:rPr>
      <w:rFonts w:ascii="Consolas" w:hAnsi="Consolas"/>
      <w:sz w:val="22"/>
    </w:rPr>
  </w:style>
  <w:style w:customStyle="1" w:styleId="SectionNumber" w:type="character">
    <w:name w:val="Section Number"/>
    <w:basedOn w:val="BodyTextChar"/>
  </w:style>
  <w:style w:styleId="FootnoteReference" w:type="character">
    <w:name w:val="Footnote Reference"/>
    <w:basedOn w:val="BodyTextChar"/>
    <w:rPr>
      <w:vertAlign w:val="superscript"/>
    </w:rPr>
  </w:style>
  <w:style w:styleId="Hyperlink" w:type="character">
    <w:name w:val="Hyperlink"/>
    <w:basedOn w:val="BodyTextChar"/>
    <w:rPr>
      <w:color w:themeColor="accent1" w:val="4F81BD"/>
    </w:rPr>
  </w:style>
  <w:style w:styleId="TOCHeading" w:type="paragraph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rFonts w:asciiTheme="majorHAnsi" w:cstheme="majorBidi" w:eastAsiaTheme="majorEastAsia" w:hAnsiTheme="majorHAnsi"/>
      <w:b w:val="0"/>
      <w:bCs w:val="0"/>
      <w:color w:themeColor="accent1" w:themeShade="BF" w:val="365F91"/>
    </w:r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color w:val="007020"/>
      <w:b/>
    </w:rPr>
  </w:style>
  <w:style w:type="character" w:customStyle="1" w:styleId="DataTypeTok">
    <w:name w:val="DataTypeTok"/>
    <w:basedOn w:val="VerbatimChar"/>
    <w:rPr>
      <w:color w:val="902000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CharTok">
    <w:name w:val="CharTok"/>
    <w:basedOn w:val="VerbatimChar"/>
    <w:rPr>
      <w:color w:val="4070a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StringTok">
    <w:name w:val="String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color w:val="008000"/>
      <w:b/>
    </w:rPr>
  </w:style>
  <w:style w:type="character" w:customStyle="1" w:styleId="CommentTok">
    <w:name w:val="CommentTok"/>
    <w:basedOn w:val="VerbatimChar"/>
    <w:rPr>
      <w:color w:val="60a0b0"/>
      <w:i/>
    </w:rPr>
  </w:style>
  <w:style w:type="character" w:customStyle="1" w:styleId="DocumentationTok">
    <w:name w:val="DocumentationTok"/>
    <w:basedOn w:val="VerbatimChar"/>
    <w:rPr>
      <w:color w:val="ba2121"/>
      <w:i/>
    </w:rPr>
  </w:style>
  <w:style w:type="character" w:customStyle="1" w:styleId="AnnotationTok">
    <w:name w:val="AnnotationTok"/>
    <w:basedOn w:val="VerbatimChar"/>
    <w:rPr>
      <w:color w:val="60a0b0"/>
      <w:b/>
      <w:i/>
    </w:rPr>
  </w:style>
  <w:style w:type="character" w:customStyle="1" w:styleId="CommentVarTok">
    <w:name w:val="CommentVarTok"/>
    <w:basedOn w:val="VerbatimChar"/>
    <w:rPr>
      <w:color w:val="60a0b0"/>
      <w:b/>
      <w:i/>
    </w:rPr>
  </w:style>
  <w:style w:type="character" w:customStyle="1" w:styleId="OtherTok">
    <w:name w:val="OtherTok"/>
    <w:basedOn w:val="VerbatimChar"/>
    <w:rPr>
      <w:color w:val="007020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color w:val="007020"/>
      <w:b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color w:val="60a0b0"/>
      <w:b/>
      <w:i/>
    </w:rPr>
  </w:style>
  <w:style w:type="character" w:customStyle="1" w:styleId="WarningTok">
    <w:name w:val="WarningTok"/>
    <w:basedOn w:val="VerbatimChar"/>
    <w:rPr>
      <w:color w:val="60a0b0"/>
      <w:b/>
      <w:i/>
    </w:rPr>
  </w:style>
  <w:style w:type="character" w:customStyle="1" w:styleId="AlertTok">
    <w:name w:val="AlertTok"/>
    <w:basedOn w:val="VerbatimChar"/>
    <w:rPr>
      <w:color w:val="ff0000"/>
      <w:b/>
    </w:rPr>
  </w:style>
  <w:style w:type="character" w:customStyle="1" w:styleId="ErrorTok">
    <w:name w:val="ErrorTok"/>
    <w:basedOn w:val="VerbatimChar"/>
    <w:rPr>
      <w:color w:val="ff0000"/>
      <w:b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" Target="numbering.xml" /><Relationship Type="http://schemas.openxmlformats.org/officeDocument/2006/relationships/styles" Id="rId2" Target="styles.xml" /><Relationship Type="http://schemas.openxmlformats.org/officeDocument/2006/relationships/settings" Id="rId3" Target="settings.xml" /><Relationship Type="http://schemas.openxmlformats.org/officeDocument/2006/relationships/webSettings" Id="rId4" Target="webSettings.xml" /><Relationship Type="http://schemas.openxmlformats.org/officeDocument/2006/relationships/fontTable" Id="rId5" Target="fontTable.xml" /><Relationship Type="http://schemas.openxmlformats.org/officeDocument/2006/relationships/theme" Id="rId6" Target="theme/theme1.xml" /><Relationship Type="http://schemas.openxmlformats.org/officeDocument/2006/relationships/footnotes" Id="rId7" Target="footnotes.xml" /><Relationship Type="http://schemas.openxmlformats.org/officeDocument/2006/relationships/comments" Id="rId8" Target="comments.xml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Words>83</Words>
  <SharedDoc>false</SharedDoc>
  <HyperlinksChanged>false</HyperlinksChanged>
  <Lines>12</Lines>
  <AppVersion>12.0000</AppVersion>
  <LinksUpToDate>false</LinksUpToDate>
  <Application>Microsoft Word 12.0.0</Application>
  <CharactersWithSpaces>583</CharactersWithSpaces>
  <Template>Normal.dotm</Template>
  <DocSecurity>0</DocSecurity>
  <TotalTime>6</TotalTime>
  <ScaleCrop>false</ScaleCrop>
  <Characters>475</Characters>
  <Paragraphs>8</Paragraphs>
  <Pages>1</Pag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2026-06-19T01:09:25Z</dcterms:created>
  <dcterms:modified xsi:type="dcterms:W3CDTF">2026-06-19T01:09:25Z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