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questions-for-oregon-sponsors"/>
    <w:p>
      <w:pPr>
        <w:pStyle w:val="Heading1"/>
      </w:pPr>
      <w:r>
        <w:t xml:space="preserve">Questions for Oregon Sponsors</w:t>
      </w:r>
    </w:p>
    <w:bookmarkStart w:id="20" w:name="X72e368a8afdebced0ee5e361cd3ac27335bff1e"/>
    <w:p>
      <w:pPr>
        <w:pStyle w:val="Heading3"/>
      </w:pPr>
      <w:r>
        <w:t xml:space="preserve">Before adopting OS- or app-store age verification</w:t>
      </w:r>
    </w:p>
    <w:p>
      <w:pPr>
        <w:pStyle w:val="FirstParagraph"/>
      </w:pPr>
      <w:r>
        <w:rPr>
          <w:iCs/>
          <w:i/>
        </w:rPr>
        <w:t xml:space="preserve">Prepared by Jonathan Westmoreland, Bend Privacy Alliance — a one-page leave-behind. Fuller analysis and primary-source citations available on request.</w:t>
      </w:r>
    </w:p>
    <w:p>
      <w:pPr>
        <w:pStyle w:val="BodyText"/>
      </w:pPr>
      <w:r>
        <w:t xml:space="preserve">Protecting minors online is a legitimate goal, and Oregon already pursues it through several laws (student-data, consumer-privacy, AI-chatbot, breach-notification, and school-phone rules). These questions are meant to ensure any 2027 age-verification bill is necessary, narrowly drawn, and privacy-preserving — not a reusable age-signal layer that expands over time.</w:t>
      </w:r>
    </w:p>
    <w:bookmarkEnd w:id="20"/>
    <w:bookmarkStart w:id="21" w:name="questions-for-the-bills-sponsors"/>
    <w:p>
      <w:pPr>
        <w:pStyle w:val="Heading2"/>
      </w:pPr>
      <w:r>
        <w:t xml:space="preserve">Questions for the bill’s sponsors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Which model is this</w:t>
      </w:r>
      <w:r>
        <w:t xml:space="preserve"> </w:t>
      </w:r>
      <w:r>
        <w:t xml:space="preserve">— school EdTech, app-store accountability, operating-system age signal, or proof-of-age? (These have very different privacy footprints and shouldn’t be blended.)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What specific harm</w:t>
      </w:r>
      <w:r>
        <w:t xml:space="preserve"> </w:t>
      </w:r>
      <w:r>
        <w:t xml:space="preserve">does it address that Oregon’s existing laws — OSIPA, the Consumer Privacy Act, the AI-companion law, the school-phone order — don’t already reach?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Collect or only pass-through?</w:t>
      </w:r>
      <w:r>
        <w:t xml:space="preserve"> </w:t>
      </w:r>
      <w:r>
        <w:t xml:space="preserve">Must the OS</w:t>
      </w:r>
      <w:r>
        <w:t xml:space="preserve"> </w:t>
      </w:r>
      <w:r>
        <w:rPr>
          <w:iCs/>
          <w:i/>
        </w:rPr>
        <w:t xml:space="preserve">collect</w:t>
      </w:r>
      <w:r>
        <w:t xml:space="preserve"> </w:t>
      </w:r>
      <w:r>
        <w:t xml:space="preserve">age, or only relay a signal if age is already known?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How broadly is age collected or inferred</w:t>
      </w:r>
      <w:r>
        <w:t xml:space="preserve"> </w:t>
      </w:r>
      <w:r>
        <w:t xml:space="preserve">— will most or all users, including adults, have to establish age?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What exactly is shared</w:t>
      </w:r>
      <w:r>
        <w:t xml:space="preserve"> </w:t>
      </w:r>
      <w:r>
        <w:t xml:space="preserve">— only a coarse age bracket, or also exact birth date, verification method, supervision status, or a parent-child link?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Who may request the signal</w:t>
      </w:r>
      <w:r>
        <w:t xml:space="preserve"> </w:t>
      </w:r>
      <w:r>
        <w:t xml:space="preserve">— first-party covered services only, or also browsers, websites, school apps, AI companions, and in-app advertising/analytics code?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Scope lock:</w:t>
      </w:r>
      <w:r>
        <w:t xml:space="preserve"> </w:t>
      </w:r>
      <w:r>
        <w:t xml:space="preserve">does the bill bar expansion from apps to browsers/websites without separate legislation, public hearings, and a recorded vote? (California’s AB 1856 is the warning.)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Reuse ban:</w:t>
      </w:r>
      <w:r>
        <w:t xml:space="preserve"> </w:t>
      </w:r>
      <w:r>
        <w:t xml:space="preserve">are advertising, profiling, school discipline, and immigration uses prohibited, and is law-enforcement access gated behind a warrant or court order?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Persistence:</w:t>
      </w:r>
      <w:r>
        <w:t xml:space="preserve"> </w:t>
      </w:r>
      <w:r>
        <w:t xml:space="preserve">is the signal queried in real time and promptly deleted, with no linkage to persistent tracking identifiers?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Devices and schools:</w:t>
      </w:r>
      <w:r>
        <w:t xml:space="preserve"> </w:t>
      </w:r>
      <w:r>
        <w:t xml:space="preserve">which devices are covered, and how does it interact with school-managed devices, OSIPA, and FERPA?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Enforcement and process:</w:t>
      </w:r>
      <w:r>
        <w:t xml:space="preserve"> </w:t>
      </w:r>
      <w:r>
        <w:t xml:space="preserve">who enforces (AG, private right of action, or both), and will a privacy impact assessment and independent technical review come</w:t>
      </w:r>
      <w:r>
        <w:t xml:space="preserve"> </w:t>
      </w:r>
      <w:r>
        <w:rPr>
          <w:iCs/>
          <w:i/>
        </w:rPr>
        <w:t xml:space="preserve">before</w:t>
      </w:r>
      <w:r>
        <w:t xml:space="preserve"> </w:t>
      </w:r>
      <w:r>
        <w:t xml:space="preserve">drafting?</w:t>
      </w:r>
    </w:p>
    <w:bookmarkEnd w:id="21"/>
    <w:bookmarkStart w:id="22" w:name="minimum-safeguards-the-red-lines"/>
    <w:p>
      <w:pPr>
        <w:pStyle w:val="Heading2"/>
      </w:pPr>
      <w:r>
        <w:t xml:space="preserve">Minimum safeguards (the red lines)</w:t>
      </w:r>
    </w:p>
    <w:p>
      <w:pPr>
        <w:numPr>
          <w:ilvl w:val="0"/>
          <w:numId w:val="1002"/>
        </w:numPr>
        <w:pStyle w:val="Compact"/>
      </w:pPr>
      <w:r>
        <w:t xml:space="preserve">No sharing of exact birth dates — a coarse age bracket, at most; no government-ID or biometric/face-scan mandate; no central state age database.</w:t>
      </w:r>
    </w:p>
    <w:p>
      <w:pPr>
        <w:numPr>
          <w:ilvl w:val="0"/>
          <w:numId w:val="1002"/>
        </w:numPr>
        <w:pStyle w:val="Compact"/>
      </w:pPr>
      <w:r>
        <w:t xml:space="preserve">No use of age signals for advertising, profiling, school discipline, or immigration enforcement; law-enforcement access only by warrant or court order.</w:t>
      </w:r>
    </w:p>
    <w:p>
      <w:pPr>
        <w:numPr>
          <w:ilvl w:val="0"/>
          <w:numId w:val="1002"/>
        </w:numPr>
        <w:pStyle w:val="Compact"/>
      </w:pPr>
      <w:r>
        <w:t xml:space="preserve">No expansion from apps to browsers or websites without separate legislation, public hearings, and a recorded legislative vote.</w:t>
      </w:r>
    </w:p>
    <w:p>
      <w:pPr>
        <w:numPr>
          <w:ilvl w:val="0"/>
          <w:numId w:val="1002"/>
        </w:numPr>
        <w:pStyle w:val="Compact"/>
      </w:pPr>
      <w:r>
        <w:t xml:space="preserve">Real protections for school-managed devices, open-source systems, and accessibility tools.</w:t>
      </w:r>
    </w:p>
    <w:p>
      <w:pPr>
        <w:numPr>
          <w:ilvl w:val="0"/>
          <w:numId w:val="1002"/>
        </w:numPr>
        <w:pStyle w:val="Compact"/>
      </w:pPr>
      <w:r>
        <w:t xml:space="preserve">Strict purpose limitation, prompt deletion of underlying proof, transparency reporting, independent security audits, and a sunset / legislative-review clause.</w:t>
      </w:r>
    </w:p>
    <w:p>
      <w:pPr>
        <w:pStyle w:val="FirstParagraph"/>
      </w:pPr>
      <w:r>
        <w:rPr>
          <w:iCs/>
          <w:i/>
        </w:rPr>
        <w:t xml:space="preserve">Bend Privacy Alliance is not opposed to child-safety legislation; our ask is that Oregon prove any age-signal architecture is necessary, proportionate, technically workable, and privacy-preserving before it is built. Related litigation moves quickly — confirm current status before relying on specific details.</w:t>
      </w:r>
    </w:p>
    <w:bookmarkEnd w:id="22"/>
    <w:bookmarkEnd w:id="23"/>
    <w:sectPr>
      <w:pgSz w:h="15840" w:w="12240"/>
      <w:pgMar w:bottom="720" w:footer="432" w:gutter="0" w:header="432" w:left="864" w:right="864" w:top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1"/>
        <w:szCs w:val="21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2026-06-19T01:12:13Z</dcterms:created>
  <dcterms:modified xsi:type="dcterms:W3CDTF">2026-06-19T01:12:13Z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